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E6" w:rsidRDefault="008756E6" w:rsidP="00103032">
      <w:pPr>
        <w:pStyle w:val="HeadHatzaotHok"/>
        <w:keepNext w:val="0"/>
        <w:keepLines w:val="0"/>
        <w:rPr>
          <w:rtl/>
        </w:rPr>
      </w:pPr>
      <w:r>
        <w:rPr>
          <w:rFonts w:hint="cs"/>
          <w:rtl/>
        </w:rPr>
        <w:t>תקנות עובדים זרים (</w:t>
      </w:r>
      <w:r w:rsidR="0097134C">
        <w:rPr>
          <w:rFonts w:hint="cs"/>
          <w:rtl/>
        </w:rPr>
        <w:t xml:space="preserve">סוגי מקרים </w:t>
      </w:r>
      <w:r w:rsidR="002004AC">
        <w:rPr>
          <w:rFonts w:hint="cs"/>
          <w:rtl/>
        </w:rPr>
        <w:t xml:space="preserve">ותנאים </w:t>
      </w:r>
      <w:r w:rsidR="009C2517">
        <w:rPr>
          <w:rFonts w:hint="cs"/>
          <w:rtl/>
        </w:rPr>
        <w:t>בהתקיימם</w:t>
      </w:r>
      <w:bookmarkStart w:id="0" w:name="_GoBack"/>
      <w:bookmarkEnd w:id="0"/>
      <w:r w:rsidR="00667181">
        <w:rPr>
          <w:rFonts w:hint="cs"/>
          <w:rtl/>
        </w:rPr>
        <w:t xml:space="preserve"> עובד זר שהוא מסתנן </w:t>
      </w:r>
      <w:r w:rsidR="00E83B35">
        <w:rPr>
          <w:rFonts w:hint="cs"/>
          <w:rtl/>
        </w:rPr>
        <w:t xml:space="preserve">זכאי </w:t>
      </w:r>
      <w:r w:rsidR="00667181">
        <w:rPr>
          <w:rFonts w:hint="cs"/>
          <w:rtl/>
        </w:rPr>
        <w:t>לקבל את כספי הפיקדון לפני מועד עזיבתו את ישראל שלא לצורך יציאה זמנית</w:t>
      </w:r>
      <w:r w:rsidR="00865211">
        <w:rPr>
          <w:rFonts w:hint="cs"/>
          <w:rtl/>
        </w:rPr>
        <w:t xml:space="preserve">), </w:t>
      </w:r>
      <w:r>
        <w:rPr>
          <w:rFonts w:hint="cs"/>
          <w:rtl/>
        </w:rPr>
        <w:t>התשע"</w:t>
      </w:r>
      <w:r w:rsidR="003A7DBB">
        <w:rPr>
          <w:rFonts w:hint="cs"/>
          <w:rtl/>
        </w:rPr>
        <w:t>ח</w:t>
      </w:r>
      <w:r>
        <w:rPr>
          <w:rFonts w:hint="cs"/>
          <w:rtl/>
        </w:rPr>
        <w:t>-</w:t>
      </w:r>
      <w:r w:rsidR="00103032">
        <w:rPr>
          <w:rFonts w:hint="cs"/>
          <w:rtl/>
        </w:rPr>
        <w:t>2018</w:t>
      </w:r>
    </w:p>
    <w:p w:rsidR="008756E6" w:rsidRDefault="008756E6" w:rsidP="00240AA6">
      <w:pPr>
        <w:pStyle w:val="HeadHatzaotHok"/>
        <w:keepNext w:val="0"/>
        <w:keepLines w:val="0"/>
        <w:jc w:val="both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בתוקף סמכותי לפי </w:t>
      </w:r>
      <w:r w:rsidR="00240AA6">
        <w:rPr>
          <w:rFonts w:hint="cs"/>
          <w:b w:val="0"/>
          <w:bCs w:val="0"/>
          <w:rtl/>
        </w:rPr>
        <w:t xml:space="preserve">סעיפים </w:t>
      </w:r>
      <w:r w:rsidR="00785AB1">
        <w:rPr>
          <w:rFonts w:hint="cs"/>
          <w:b w:val="0"/>
          <w:bCs w:val="0"/>
          <w:rtl/>
        </w:rPr>
        <w:t>1יא</w:t>
      </w:r>
      <w:r w:rsidR="005A2530">
        <w:rPr>
          <w:rFonts w:hint="cs"/>
          <w:b w:val="0"/>
          <w:bCs w:val="0"/>
          <w:rtl/>
        </w:rPr>
        <w:t>4(ה)</w:t>
      </w:r>
      <w:r>
        <w:rPr>
          <w:rFonts w:hint="cs"/>
          <w:b w:val="0"/>
          <w:bCs w:val="0"/>
          <w:rtl/>
        </w:rPr>
        <w:t xml:space="preserve"> </w:t>
      </w:r>
      <w:r w:rsidR="00664C52">
        <w:rPr>
          <w:rFonts w:hint="cs"/>
          <w:b w:val="0"/>
          <w:bCs w:val="0"/>
          <w:rtl/>
        </w:rPr>
        <w:t xml:space="preserve">ו-1יא5(ב) </w:t>
      </w:r>
      <w:r>
        <w:rPr>
          <w:rFonts w:hint="cs"/>
          <w:b w:val="0"/>
          <w:bCs w:val="0"/>
          <w:rtl/>
        </w:rPr>
        <w:t>לחוק עובדים זרים, התשנ"א-1991</w:t>
      </w:r>
      <w:r>
        <w:rPr>
          <w:rStyle w:val="a7"/>
          <w:b w:val="0"/>
          <w:bCs w:val="0"/>
          <w:rtl/>
        </w:rPr>
        <w:footnoteReference w:id="1"/>
      </w:r>
      <w:r w:rsidR="00170B49">
        <w:rPr>
          <w:rFonts w:hint="cs"/>
          <w:b w:val="0"/>
          <w:bCs w:val="0"/>
          <w:rtl/>
        </w:rPr>
        <w:t xml:space="preserve"> (להלן </w:t>
      </w:r>
      <w:r w:rsidR="00170B49">
        <w:rPr>
          <w:b w:val="0"/>
          <w:bCs w:val="0"/>
          <w:rtl/>
        </w:rPr>
        <w:t>–</w:t>
      </w:r>
      <w:r w:rsidR="00170B49">
        <w:rPr>
          <w:rFonts w:hint="cs"/>
          <w:b w:val="0"/>
          <w:bCs w:val="0"/>
          <w:rtl/>
        </w:rPr>
        <w:t xml:space="preserve"> החוק)</w:t>
      </w:r>
      <w:r w:rsidR="001033D5">
        <w:rPr>
          <w:rFonts w:hint="cs"/>
          <w:b w:val="0"/>
          <w:bCs w:val="0"/>
          <w:rtl/>
        </w:rPr>
        <w:t xml:space="preserve">, </w:t>
      </w:r>
      <w:r w:rsidR="00C33EEC">
        <w:rPr>
          <w:rFonts w:hint="cs"/>
          <w:b w:val="0"/>
          <w:bCs w:val="0"/>
          <w:rtl/>
        </w:rPr>
        <w:t xml:space="preserve">בהסכמת שר האוצר ובאישור </w:t>
      </w:r>
      <w:r w:rsidR="00C33EEC" w:rsidRPr="00C8001A">
        <w:rPr>
          <w:rFonts w:hint="cs"/>
          <w:b w:val="0"/>
          <w:bCs w:val="0"/>
          <w:sz w:val="26"/>
          <w:rtl/>
        </w:rPr>
        <w:t>ועדת העבודה, הרווחה והבריאות של הכנסת</w:t>
      </w:r>
      <w:r w:rsidR="00C33EEC">
        <w:rPr>
          <w:rFonts w:hint="cs"/>
          <w:b w:val="0"/>
          <w:bCs w:val="0"/>
          <w:sz w:val="26"/>
          <w:rtl/>
        </w:rPr>
        <w:t>,</w:t>
      </w:r>
      <w:r w:rsidR="00C33EEC">
        <w:rPr>
          <w:rFonts w:hint="cs"/>
          <w:b w:val="0"/>
          <w:bCs w:val="0"/>
          <w:rtl/>
        </w:rPr>
        <w:t xml:space="preserve"> </w:t>
      </w:r>
      <w:r w:rsidR="001033D5">
        <w:rPr>
          <w:rFonts w:hint="cs"/>
          <w:b w:val="0"/>
          <w:bCs w:val="0"/>
          <w:rtl/>
        </w:rPr>
        <w:t>אני מתקין תקנות א</w:t>
      </w:r>
      <w:r w:rsidR="001A03F4">
        <w:rPr>
          <w:rFonts w:hint="cs"/>
          <w:b w:val="0"/>
          <w:bCs w:val="0"/>
          <w:rtl/>
        </w:rPr>
        <w:t>לה:</w:t>
      </w:r>
    </w:p>
    <w:p w:rsidR="00A76B59" w:rsidRPr="008756E6" w:rsidRDefault="00A76B59" w:rsidP="00240AA6">
      <w:pPr>
        <w:pStyle w:val="HeadHatzaotHok"/>
        <w:keepNext w:val="0"/>
        <w:keepLines w:val="0"/>
        <w:jc w:val="both"/>
        <w:rPr>
          <w:b w:val="0"/>
          <w:bCs w:val="0"/>
          <w:rtl/>
        </w:rPr>
      </w:pPr>
    </w:p>
    <w:tbl>
      <w:tblPr>
        <w:bidiVisual/>
        <w:tblW w:w="844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641"/>
        <w:gridCol w:w="548"/>
        <w:gridCol w:w="548"/>
        <w:gridCol w:w="5711"/>
      </w:tblGrid>
      <w:tr w:rsidR="008756E6" w:rsidTr="00527AA3">
        <w:trPr>
          <w:cantSplit/>
        </w:trPr>
        <w:tc>
          <w:tcPr>
            <w:tcW w:w="1641" w:type="dxa"/>
          </w:tcPr>
          <w:p w:rsidR="008756E6" w:rsidRDefault="002106FE" w:rsidP="006D360F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זכאות</w:t>
            </w:r>
            <w:r w:rsidR="00474F29">
              <w:rPr>
                <w:rFonts w:hint="cs"/>
                <w:rtl/>
              </w:rPr>
              <w:t xml:space="preserve"> לקבלת חלק מכספי הפיקדון</w:t>
            </w:r>
          </w:p>
        </w:tc>
        <w:tc>
          <w:tcPr>
            <w:tcW w:w="548" w:type="dxa"/>
          </w:tcPr>
          <w:p w:rsidR="008756E6" w:rsidRDefault="008756E6" w:rsidP="008756E6">
            <w:pPr>
              <w:pStyle w:val="TableText"/>
              <w:keepLines w:val="0"/>
              <w:numPr>
                <w:ilvl w:val="0"/>
                <w:numId w:val="1"/>
              </w:numPr>
            </w:pPr>
          </w:p>
        </w:tc>
        <w:tc>
          <w:tcPr>
            <w:tcW w:w="6259" w:type="dxa"/>
            <w:gridSpan w:val="2"/>
          </w:tcPr>
          <w:p w:rsidR="008756E6" w:rsidRPr="00A561A8" w:rsidRDefault="00B9619D" w:rsidP="00D50050">
            <w:pPr>
              <w:pStyle w:val="TableBlock"/>
            </w:pPr>
            <w:r>
              <w:rPr>
                <w:rStyle w:val="default"/>
                <w:rFonts w:cs="David" w:hint="cs"/>
                <w:rtl/>
              </w:rPr>
              <w:t xml:space="preserve">עובד זר מסתנן שהוא אחד מאלה </w:t>
            </w:r>
            <w:r w:rsidR="002106FE">
              <w:rPr>
                <w:rStyle w:val="default"/>
                <w:rFonts w:cs="David" w:hint="cs"/>
                <w:rtl/>
              </w:rPr>
              <w:t>זכאי</w:t>
            </w:r>
            <w:r w:rsidR="00287150">
              <w:rPr>
                <w:rStyle w:val="default"/>
                <w:rFonts w:cs="David" w:hint="cs"/>
                <w:rtl/>
              </w:rPr>
              <w:t xml:space="preserve"> לקבל </w:t>
            </w:r>
            <w:r w:rsidR="00923AE1">
              <w:rPr>
                <w:rStyle w:val="default"/>
                <w:rFonts w:cs="David" w:hint="cs"/>
                <w:rtl/>
              </w:rPr>
              <w:t xml:space="preserve">חלק מכספי הפיקדון </w:t>
            </w:r>
            <w:r w:rsidR="00055234">
              <w:rPr>
                <w:rStyle w:val="default"/>
                <w:rFonts w:cs="David" w:hint="cs"/>
                <w:rtl/>
              </w:rPr>
              <w:t xml:space="preserve">כאמור בתקנה 2 </w:t>
            </w:r>
            <w:r w:rsidR="00923AE1">
              <w:rPr>
                <w:rStyle w:val="default"/>
                <w:rFonts w:cs="David" w:hint="cs"/>
                <w:rtl/>
              </w:rPr>
              <w:t xml:space="preserve">אף לפני המועד האמור בסעיף </w:t>
            </w:r>
            <w:r w:rsidR="00FF51EE">
              <w:rPr>
                <w:rStyle w:val="default"/>
                <w:rFonts w:cs="David" w:hint="cs"/>
                <w:rtl/>
              </w:rPr>
              <w:t>1יא4(א)</w:t>
            </w:r>
            <w:r w:rsidR="00923AE1">
              <w:rPr>
                <w:rStyle w:val="default"/>
                <w:rFonts w:cs="David" w:hint="cs"/>
                <w:rtl/>
              </w:rPr>
              <w:t xml:space="preserve"> לחוק</w:t>
            </w:r>
            <w:r w:rsidR="003A34AB">
              <w:rPr>
                <w:rFonts w:hint="cs"/>
                <w:rtl/>
              </w:rPr>
              <w:t>:</w:t>
            </w:r>
          </w:p>
        </w:tc>
      </w:tr>
      <w:tr w:rsidR="003A34AB" w:rsidTr="00527AA3">
        <w:trPr>
          <w:cantSplit/>
          <w:trHeight w:val="60"/>
        </w:trPr>
        <w:tc>
          <w:tcPr>
            <w:tcW w:w="1641" w:type="dxa"/>
          </w:tcPr>
          <w:p w:rsidR="003A34AB" w:rsidRDefault="003A34AB">
            <w:pPr>
              <w:pStyle w:val="TableSideHeading"/>
            </w:pPr>
          </w:p>
        </w:tc>
        <w:tc>
          <w:tcPr>
            <w:tcW w:w="548" w:type="dxa"/>
          </w:tcPr>
          <w:p w:rsidR="003A34AB" w:rsidRDefault="003A34AB">
            <w:pPr>
              <w:pStyle w:val="TableText"/>
            </w:pPr>
          </w:p>
        </w:tc>
        <w:tc>
          <w:tcPr>
            <w:tcW w:w="548" w:type="dxa"/>
          </w:tcPr>
          <w:p w:rsidR="003A34AB" w:rsidRDefault="003A34AB" w:rsidP="003A34AB">
            <w:pPr>
              <w:pStyle w:val="TableText"/>
              <w:numPr>
                <w:ilvl w:val="0"/>
                <w:numId w:val="16"/>
              </w:numPr>
              <w:tabs>
                <w:tab w:val="left" w:pos="624"/>
              </w:tabs>
              <w:ind w:right="0"/>
              <w:jc w:val="both"/>
            </w:pPr>
          </w:p>
        </w:tc>
        <w:tc>
          <w:tcPr>
            <w:tcW w:w="5711" w:type="dxa"/>
          </w:tcPr>
          <w:p w:rsidR="003A34AB" w:rsidRDefault="003A34AB">
            <w:pPr>
              <w:pStyle w:val="TableBlock"/>
            </w:pPr>
            <w:r>
              <w:rPr>
                <w:rFonts w:hint="cs"/>
                <w:rtl/>
              </w:rPr>
              <w:t>קטין</w:t>
            </w:r>
            <w:r w:rsidR="00791B3F">
              <w:rPr>
                <w:rFonts w:hint="cs"/>
                <w:rtl/>
              </w:rPr>
              <w:t>;</w:t>
            </w:r>
          </w:p>
        </w:tc>
      </w:tr>
      <w:tr w:rsidR="00791B3F" w:rsidTr="00527AA3">
        <w:trPr>
          <w:cantSplit/>
          <w:trHeight w:val="60"/>
        </w:trPr>
        <w:tc>
          <w:tcPr>
            <w:tcW w:w="1641" w:type="dxa"/>
          </w:tcPr>
          <w:p w:rsidR="00791B3F" w:rsidRDefault="00791B3F">
            <w:pPr>
              <w:pStyle w:val="TableSideHeading"/>
            </w:pPr>
          </w:p>
        </w:tc>
        <w:tc>
          <w:tcPr>
            <w:tcW w:w="548" w:type="dxa"/>
          </w:tcPr>
          <w:p w:rsidR="00791B3F" w:rsidRDefault="00791B3F" w:rsidP="00791B3F">
            <w:pPr>
              <w:pStyle w:val="TableText"/>
            </w:pPr>
          </w:p>
        </w:tc>
        <w:tc>
          <w:tcPr>
            <w:tcW w:w="548" w:type="dxa"/>
          </w:tcPr>
          <w:p w:rsidR="00791B3F" w:rsidRDefault="00791B3F" w:rsidP="003A34AB">
            <w:pPr>
              <w:pStyle w:val="TableText"/>
              <w:numPr>
                <w:ilvl w:val="0"/>
                <w:numId w:val="16"/>
              </w:numPr>
              <w:tabs>
                <w:tab w:val="left" w:pos="624"/>
              </w:tabs>
              <w:ind w:right="0"/>
              <w:jc w:val="both"/>
            </w:pPr>
          </w:p>
        </w:tc>
        <w:tc>
          <w:tcPr>
            <w:tcW w:w="5711" w:type="dxa"/>
          </w:tcPr>
          <w:p w:rsidR="00791B3F" w:rsidRDefault="00791B3F">
            <w:pPr>
              <w:pStyle w:val="TableBlock"/>
              <w:rPr>
                <w:rtl/>
              </w:rPr>
            </w:pPr>
            <w:r w:rsidRPr="00791B3F">
              <w:rPr>
                <w:rFonts w:hint="cs"/>
                <w:rtl/>
              </w:rPr>
              <w:t>מי שגילו עולה על 60;</w:t>
            </w:r>
          </w:p>
        </w:tc>
      </w:tr>
      <w:tr w:rsidR="00791B3F" w:rsidTr="00527AA3">
        <w:trPr>
          <w:cantSplit/>
          <w:trHeight w:val="60"/>
        </w:trPr>
        <w:tc>
          <w:tcPr>
            <w:tcW w:w="1641" w:type="dxa"/>
          </w:tcPr>
          <w:p w:rsidR="00791B3F" w:rsidRDefault="00791B3F">
            <w:pPr>
              <w:pStyle w:val="TableSideHeading"/>
            </w:pPr>
          </w:p>
        </w:tc>
        <w:tc>
          <w:tcPr>
            <w:tcW w:w="548" w:type="dxa"/>
          </w:tcPr>
          <w:p w:rsidR="00791B3F" w:rsidRDefault="00791B3F" w:rsidP="00791B3F">
            <w:pPr>
              <w:pStyle w:val="TableText"/>
            </w:pPr>
          </w:p>
        </w:tc>
        <w:tc>
          <w:tcPr>
            <w:tcW w:w="548" w:type="dxa"/>
          </w:tcPr>
          <w:p w:rsidR="00791B3F" w:rsidRDefault="00791B3F" w:rsidP="003A34AB">
            <w:pPr>
              <w:pStyle w:val="TableText"/>
              <w:numPr>
                <w:ilvl w:val="0"/>
                <w:numId w:val="16"/>
              </w:numPr>
              <w:tabs>
                <w:tab w:val="left" w:pos="624"/>
              </w:tabs>
              <w:ind w:right="0"/>
              <w:jc w:val="both"/>
            </w:pPr>
          </w:p>
        </w:tc>
        <w:tc>
          <w:tcPr>
            <w:tcW w:w="5711" w:type="dxa"/>
          </w:tcPr>
          <w:p w:rsidR="00791B3F" w:rsidRPr="00791B3F" w:rsidRDefault="00791B3F">
            <w:pPr>
              <w:pStyle w:val="TableBlock"/>
              <w:rPr>
                <w:rtl/>
              </w:rPr>
            </w:pPr>
            <w:r w:rsidRPr="00791B3F">
              <w:rPr>
                <w:rFonts w:hint="cs"/>
                <w:rtl/>
              </w:rPr>
              <w:t>הורה לקטין הסמוך על שולחנו בישראל;</w:t>
            </w:r>
          </w:p>
        </w:tc>
      </w:tr>
      <w:tr w:rsidR="00F55B0E" w:rsidTr="00527AA3">
        <w:trPr>
          <w:cantSplit/>
          <w:trHeight w:val="60"/>
        </w:trPr>
        <w:tc>
          <w:tcPr>
            <w:tcW w:w="1641" w:type="dxa"/>
          </w:tcPr>
          <w:p w:rsidR="00F55B0E" w:rsidRDefault="00F55B0E">
            <w:pPr>
              <w:pStyle w:val="TableSideHeading"/>
            </w:pPr>
          </w:p>
        </w:tc>
        <w:tc>
          <w:tcPr>
            <w:tcW w:w="548" w:type="dxa"/>
          </w:tcPr>
          <w:p w:rsidR="00F55B0E" w:rsidRDefault="00F55B0E" w:rsidP="00F55B0E">
            <w:pPr>
              <w:pStyle w:val="TableText"/>
            </w:pPr>
          </w:p>
        </w:tc>
        <w:tc>
          <w:tcPr>
            <w:tcW w:w="548" w:type="dxa"/>
          </w:tcPr>
          <w:p w:rsidR="00F55B0E" w:rsidRDefault="00F55B0E" w:rsidP="003A34AB">
            <w:pPr>
              <w:pStyle w:val="TableText"/>
              <w:numPr>
                <w:ilvl w:val="0"/>
                <w:numId w:val="16"/>
              </w:numPr>
              <w:tabs>
                <w:tab w:val="left" w:pos="624"/>
              </w:tabs>
              <w:ind w:right="0"/>
              <w:jc w:val="both"/>
            </w:pPr>
          </w:p>
        </w:tc>
        <w:tc>
          <w:tcPr>
            <w:tcW w:w="5711" w:type="dxa"/>
          </w:tcPr>
          <w:p w:rsidR="00F55B0E" w:rsidRPr="00791B3F" w:rsidRDefault="00F55B0E" w:rsidP="005F7F24">
            <w:pPr>
              <w:pStyle w:val="TableBlock"/>
              <w:rPr>
                <w:rtl/>
              </w:rPr>
            </w:pPr>
            <w:r w:rsidRPr="00F55B0E">
              <w:rPr>
                <w:rFonts w:hint="cs"/>
                <w:rtl/>
              </w:rPr>
              <w:t>מי שממונה ביקורת הגבולות שוכנע לגביו כי בשל גילו או מצב בריאותו, לרבו</w:t>
            </w:r>
            <w:r>
              <w:rPr>
                <w:rFonts w:hint="cs"/>
                <w:rtl/>
              </w:rPr>
              <w:t xml:space="preserve">ת בריאותו הנפשית, </w:t>
            </w:r>
            <w:r w:rsidR="006A29D0">
              <w:rPr>
                <w:rFonts w:hint="cs"/>
                <w:rtl/>
              </w:rPr>
              <w:t xml:space="preserve"> אי קבלת </w:t>
            </w:r>
            <w:r w:rsidR="006A29D0">
              <w:rPr>
                <w:rStyle w:val="default"/>
                <w:rFonts w:cs="David" w:hint="cs"/>
                <w:rtl/>
              </w:rPr>
              <w:t>כספי הפיקדון לפני המועד האמור בסעיף 1יא4(א) לחוק</w:t>
            </w:r>
            <w:r w:rsidR="006A29D0" w:rsidRPr="00F55B0E">
              <w:rPr>
                <w:rFonts w:hint="cs"/>
                <w:rtl/>
              </w:rPr>
              <w:t xml:space="preserve"> </w:t>
            </w:r>
            <w:r w:rsidRPr="00F55B0E">
              <w:rPr>
                <w:rFonts w:hint="cs"/>
                <w:rtl/>
              </w:rPr>
              <w:t>עלולה לגרום נזק לבריאותו כאמור, ואין דרך אחרת למנוע את הנזק האמור;</w:t>
            </w:r>
          </w:p>
        </w:tc>
      </w:tr>
      <w:tr w:rsidR="00F55B0E" w:rsidTr="00527AA3">
        <w:trPr>
          <w:cantSplit/>
          <w:trHeight w:val="60"/>
        </w:trPr>
        <w:tc>
          <w:tcPr>
            <w:tcW w:w="1641" w:type="dxa"/>
          </w:tcPr>
          <w:p w:rsidR="00F55B0E" w:rsidRDefault="00F55B0E">
            <w:pPr>
              <w:pStyle w:val="TableSideHeading"/>
            </w:pPr>
          </w:p>
        </w:tc>
        <w:tc>
          <w:tcPr>
            <w:tcW w:w="548" w:type="dxa"/>
          </w:tcPr>
          <w:p w:rsidR="00F55B0E" w:rsidRDefault="00F55B0E" w:rsidP="00F55B0E">
            <w:pPr>
              <w:pStyle w:val="TableText"/>
            </w:pPr>
          </w:p>
        </w:tc>
        <w:tc>
          <w:tcPr>
            <w:tcW w:w="548" w:type="dxa"/>
          </w:tcPr>
          <w:p w:rsidR="00F55B0E" w:rsidRDefault="00F55B0E" w:rsidP="003A34AB">
            <w:pPr>
              <w:pStyle w:val="TableText"/>
              <w:numPr>
                <w:ilvl w:val="0"/>
                <w:numId w:val="16"/>
              </w:numPr>
              <w:tabs>
                <w:tab w:val="left" w:pos="624"/>
              </w:tabs>
              <w:ind w:right="0"/>
              <w:jc w:val="both"/>
            </w:pPr>
          </w:p>
        </w:tc>
        <w:tc>
          <w:tcPr>
            <w:tcW w:w="5711" w:type="dxa"/>
          </w:tcPr>
          <w:p w:rsidR="00F55B0E" w:rsidRPr="00791B3F" w:rsidRDefault="00A66E0D" w:rsidP="00AA0262">
            <w:pPr>
              <w:pStyle w:val="TableBlock"/>
              <w:rPr>
                <w:rtl/>
              </w:rPr>
            </w:pPr>
            <w:r w:rsidRPr="00A66E0D">
              <w:rPr>
                <w:rFonts w:hint="cs"/>
                <w:rtl/>
              </w:rPr>
              <w:t>מי שמשטרת ישראל הודיעה לגביו כי יש ראיות לכאורה לכך שנעברה לגביו עבירה לפי סעיפים 375א או 377א(א) או (ב) לחוק העונשין</w:t>
            </w:r>
            <w:r>
              <w:rPr>
                <w:rFonts w:hint="cs"/>
                <w:rtl/>
              </w:rPr>
              <w:t xml:space="preserve">, </w:t>
            </w:r>
            <w:r w:rsidR="005B73B6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>תשל"</w:t>
            </w:r>
            <w:r w:rsidR="00AA0262">
              <w:rPr>
                <w:rFonts w:hint="cs"/>
                <w:rtl/>
              </w:rPr>
              <w:t>ז</w:t>
            </w:r>
            <w:r>
              <w:rPr>
                <w:rFonts w:hint="cs"/>
                <w:rtl/>
              </w:rPr>
              <w:t>-197</w:t>
            </w:r>
            <w:r w:rsidR="00AA0262">
              <w:rPr>
                <w:rFonts w:hint="cs"/>
                <w:rtl/>
              </w:rPr>
              <w:t>7</w:t>
            </w:r>
            <w:r w:rsidR="006E7EF3">
              <w:rPr>
                <w:rStyle w:val="a7"/>
                <w:rtl/>
              </w:rPr>
              <w:footnoteReference w:id="2"/>
            </w:r>
            <w:r w:rsidRPr="00A66E0D">
              <w:rPr>
                <w:rFonts w:hint="cs"/>
                <w:rtl/>
              </w:rPr>
              <w:t>.</w:t>
            </w:r>
          </w:p>
        </w:tc>
      </w:tr>
      <w:tr w:rsidR="002A5CB2" w:rsidTr="00527AA3">
        <w:trPr>
          <w:cantSplit/>
          <w:trHeight w:val="60"/>
        </w:trPr>
        <w:tc>
          <w:tcPr>
            <w:tcW w:w="1641" w:type="dxa"/>
          </w:tcPr>
          <w:p w:rsidR="002A5CB2" w:rsidRDefault="005D5A2C" w:rsidP="00655357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 xml:space="preserve">שיעור </w:t>
            </w:r>
            <w:r w:rsidR="00474F29">
              <w:rPr>
                <w:rFonts w:hint="cs"/>
                <w:rtl/>
              </w:rPr>
              <w:t>הפיקדון</w:t>
            </w:r>
            <w:r>
              <w:rPr>
                <w:rFonts w:hint="cs"/>
                <w:rtl/>
              </w:rPr>
              <w:t xml:space="preserve"> החלקי</w:t>
            </w:r>
            <w:r w:rsidR="00903398">
              <w:rPr>
                <w:rFonts w:hint="cs"/>
                <w:rtl/>
              </w:rPr>
              <w:t xml:space="preserve"> שהעובד </w:t>
            </w:r>
            <w:r w:rsidR="00655357">
              <w:rPr>
                <w:rFonts w:hint="cs"/>
                <w:rtl/>
              </w:rPr>
              <w:t>זכאי</w:t>
            </w:r>
            <w:r w:rsidR="00903398">
              <w:rPr>
                <w:rFonts w:hint="cs"/>
                <w:rtl/>
              </w:rPr>
              <w:t xml:space="preserve"> לקבל</w:t>
            </w:r>
          </w:p>
        </w:tc>
        <w:tc>
          <w:tcPr>
            <w:tcW w:w="548" w:type="dxa"/>
          </w:tcPr>
          <w:p w:rsidR="002A5CB2" w:rsidRDefault="002A5CB2" w:rsidP="002A5CB2">
            <w:pPr>
              <w:pStyle w:val="TableText"/>
              <w:keepLines w:val="0"/>
              <w:numPr>
                <w:ilvl w:val="0"/>
                <w:numId w:val="1"/>
              </w:numPr>
            </w:pPr>
          </w:p>
        </w:tc>
        <w:tc>
          <w:tcPr>
            <w:tcW w:w="6259" w:type="dxa"/>
            <w:gridSpan w:val="2"/>
          </w:tcPr>
          <w:p w:rsidR="002A5CB2" w:rsidRPr="00C34DE2" w:rsidRDefault="00500982" w:rsidP="000F50CB">
            <w:pPr>
              <w:pStyle w:val="TableBlock"/>
              <w:keepLines w:val="0"/>
            </w:pPr>
            <w:r>
              <w:rPr>
                <w:rFonts w:hint="cs"/>
                <w:rtl/>
              </w:rPr>
              <w:t>עובד זר מסתנן</w:t>
            </w:r>
            <w:r w:rsidR="00BB0782">
              <w:rPr>
                <w:rFonts w:hint="cs"/>
                <w:rtl/>
              </w:rPr>
              <w:t xml:space="preserve"> כאמור בתקנה 1 </w:t>
            </w:r>
            <w:r w:rsidR="00FE1F6C">
              <w:rPr>
                <w:rFonts w:hint="cs"/>
                <w:rtl/>
              </w:rPr>
              <w:t>זכאי</w:t>
            </w:r>
            <w:r w:rsidR="00BB0782">
              <w:rPr>
                <w:rFonts w:hint="cs"/>
                <w:rtl/>
              </w:rPr>
              <w:t xml:space="preserve"> לקבל חלק השווה </w:t>
            </w:r>
            <w:r w:rsidR="003F0852">
              <w:rPr>
                <w:rFonts w:hint="cs"/>
                <w:rtl/>
              </w:rPr>
              <w:t>ל-70%</w:t>
            </w:r>
            <w:r w:rsidR="00BB0782">
              <w:rPr>
                <w:rFonts w:hint="cs"/>
                <w:rtl/>
              </w:rPr>
              <w:t xml:space="preserve"> מחלק העובד </w:t>
            </w:r>
            <w:r w:rsidR="002F492E">
              <w:rPr>
                <w:rFonts w:hint="cs"/>
                <w:rtl/>
              </w:rPr>
              <w:t xml:space="preserve">כמשמעותו </w:t>
            </w:r>
            <w:r w:rsidR="00BB0782">
              <w:rPr>
                <w:rFonts w:hint="cs"/>
                <w:rtl/>
              </w:rPr>
              <w:t>בסעיף 1יא1(א) לחוק</w:t>
            </w:r>
            <w:r w:rsidR="00B57BD6">
              <w:rPr>
                <w:rFonts w:hint="cs"/>
                <w:rtl/>
              </w:rPr>
              <w:t xml:space="preserve"> </w:t>
            </w:r>
            <w:r w:rsidR="002D3C7D">
              <w:rPr>
                <w:rFonts w:hint="cs"/>
                <w:rtl/>
              </w:rPr>
              <w:t xml:space="preserve">(להלן </w:t>
            </w:r>
            <w:r w:rsidR="002D3C7D">
              <w:rPr>
                <w:rtl/>
              </w:rPr>
              <w:t>–</w:t>
            </w:r>
            <w:r w:rsidR="00B57BD6">
              <w:rPr>
                <w:rFonts w:hint="cs"/>
                <w:rtl/>
              </w:rPr>
              <w:t xml:space="preserve"> פיקדון </w:t>
            </w:r>
            <w:r w:rsidR="002D3C7D">
              <w:rPr>
                <w:rFonts w:hint="cs"/>
                <w:rtl/>
              </w:rPr>
              <w:t>חלקי)</w:t>
            </w:r>
            <w:r w:rsidR="00FF2E6E">
              <w:rPr>
                <w:rFonts w:hint="cs"/>
                <w:rtl/>
              </w:rPr>
              <w:t>.</w:t>
            </w:r>
          </w:p>
        </w:tc>
      </w:tr>
      <w:tr w:rsidR="002D3C7D" w:rsidTr="00527AA3">
        <w:trPr>
          <w:cantSplit/>
          <w:trHeight w:val="60"/>
        </w:trPr>
        <w:tc>
          <w:tcPr>
            <w:tcW w:w="1641" w:type="dxa"/>
          </w:tcPr>
          <w:p w:rsidR="002D3C7D" w:rsidRDefault="00B13811" w:rsidP="00F64A64">
            <w:pPr>
              <w:pStyle w:val="TableSideHeading"/>
              <w:ind w:right="0"/>
              <w:rPr>
                <w:rtl/>
              </w:rPr>
            </w:pPr>
            <w:r>
              <w:rPr>
                <w:rFonts w:hint="cs"/>
                <w:rtl/>
              </w:rPr>
              <w:t>דרך</w:t>
            </w:r>
            <w:r w:rsidR="00A676F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ל</w:t>
            </w:r>
            <w:r w:rsidR="00F31BEA">
              <w:rPr>
                <w:rFonts w:hint="cs"/>
                <w:rtl/>
              </w:rPr>
              <w:t xml:space="preserve">תשלום </w:t>
            </w:r>
            <w:r w:rsidR="00F96F42">
              <w:rPr>
                <w:rFonts w:hint="cs"/>
                <w:rtl/>
              </w:rPr>
              <w:t>ה</w:t>
            </w:r>
            <w:r w:rsidR="00F31BEA">
              <w:rPr>
                <w:rFonts w:hint="cs"/>
                <w:rtl/>
              </w:rPr>
              <w:t xml:space="preserve">פיקדון </w:t>
            </w:r>
            <w:r w:rsidR="00F96F42">
              <w:rPr>
                <w:rFonts w:hint="cs"/>
                <w:rtl/>
              </w:rPr>
              <w:t>ה</w:t>
            </w:r>
            <w:r w:rsidR="000C3998">
              <w:rPr>
                <w:rFonts w:hint="cs"/>
                <w:rtl/>
              </w:rPr>
              <w:t>חלקי</w:t>
            </w:r>
          </w:p>
        </w:tc>
        <w:tc>
          <w:tcPr>
            <w:tcW w:w="548" w:type="dxa"/>
          </w:tcPr>
          <w:p w:rsidR="002D3C7D" w:rsidRDefault="002D3C7D" w:rsidP="00827DD6">
            <w:pPr>
              <w:pStyle w:val="TableText"/>
              <w:keepLines w:val="0"/>
              <w:numPr>
                <w:ilvl w:val="0"/>
                <w:numId w:val="1"/>
              </w:numPr>
            </w:pPr>
          </w:p>
        </w:tc>
        <w:tc>
          <w:tcPr>
            <w:tcW w:w="6259" w:type="dxa"/>
            <w:gridSpan w:val="2"/>
          </w:tcPr>
          <w:p w:rsidR="002D3C7D" w:rsidRDefault="006E59D7" w:rsidP="00EC1290">
            <w:pPr>
              <w:pStyle w:val="TableBlock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 xml:space="preserve"> הפיקדון החלקי ישולם </w:t>
            </w:r>
            <w:r w:rsidR="005F7476">
              <w:rPr>
                <w:rFonts w:hint="cs"/>
                <w:rtl/>
              </w:rPr>
              <w:t>ל</w:t>
            </w:r>
            <w:r w:rsidR="00476DD6">
              <w:rPr>
                <w:rFonts w:hint="cs"/>
                <w:rtl/>
              </w:rPr>
              <w:t>עובד הזר המסתנן</w:t>
            </w:r>
            <w:r w:rsidR="005F7476">
              <w:rPr>
                <w:rFonts w:hint="cs"/>
                <w:rtl/>
              </w:rPr>
              <w:t xml:space="preserve"> ב</w:t>
            </w:r>
            <w:r w:rsidR="00E31C47">
              <w:rPr>
                <w:rFonts w:hint="cs"/>
                <w:rtl/>
              </w:rPr>
              <w:t>דרך של אי ניכויו בידי מעסיקו משכר עבודתו</w:t>
            </w:r>
            <w:r w:rsidR="00F8787A">
              <w:rPr>
                <w:rFonts w:hint="cs"/>
                <w:rtl/>
              </w:rPr>
              <w:t xml:space="preserve">, </w:t>
            </w:r>
            <w:r w:rsidR="00A676F3">
              <w:rPr>
                <w:rFonts w:hint="cs"/>
                <w:rtl/>
              </w:rPr>
              <w:t>ובלבד</w:t>
            </w:r>
            <w:r w:rsidR="00307F2E">
              <w:rPr>
                <w:rFonts w:hint="cs"/>
                <w:rtl/>
              </w:rPr>
              <w:t xml:space="preserve"> שהעובד הזר המסתנן הציג בפני</w:t>
            </w:r>
            <w:r w:rsidR="00C75F91">
              <w:rPr>
                <w:rFonts w:hint="cs"/>
                <w:rtl/>
              </w:rPr>
              <w:t xml:space="preserve"> מעסיקו</w:t>
            </w:r>
            <w:r w:rsidR="005D4B60">
              <w:rPr>
                <w:rFonts w:hint="cs"/>
                <w:rtl/>
              </w:rPr>
              <w:t xml:space="preserve"> אישור </w:t>
            </w:r>
            <w:r w:rsidR="00D04636">
              <w:rPr>
                <w:rFonts w:hint="cs"/>
                <w:rtl/>
              </w:rPr>
              <w:t xml:space="preserve">בכתב </w:t>
            </w:r>
            <w:r w:rsidR="005D4B60">
              <w:rPr>
                <w:rFonts w:hint="cs"/>
                <w:rtl/>
              </w:rPr>
              <w:t>מרשות האוכלוסין וההגירה</w:t>
            </w:r>
            <w:r w:rsidR="001A57F7">
              <w:rPr>
                <w:rFonts w:hint="cs"/>
                <w:rtl/>
              </w:rPr>
              <w:t xml:space="preserve"> בדבר זכאותו לתשלום פיקדון חלקי.</w:t>
            </w:r>
            <w:r w:rsidR="00A676F3">
              <w:rPr>
                <w:rFonts w:hint="cs"/>
                <w:rtl/>
              </w:rPr>
              <w:t xml:space="preserve"> </w:t>
            </w:r>
          </w:p>
        </w:tc>
      </w:tr>
      <w:tr w:rsidR="00905E76" w:rsidTr="00527AA3">
        <w:trPr>
          <w:cantSplit/>
        </w:trPr>
        <w:tc>
          <w:tcPr>
            <w:tcW w:w="1641" w:type="dxa"/>
          </w:tcPr>
          <w:p w:rsidR="00905E76" w:rsidRDefault="00A22DF6" w:rsidP="006D360F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תחילה</w:t>
            </w:r>
          </w:p>
        </w:tc>
        <w:tc>
          <w:tcPr>
            <w:tcW w:w="548" w:type="dxa"/>
          </w:tcPr>
          <w:p w:rsidR="00905E76" w:rsidRDefault="00905E76" w:rsidP="00905E76">
            <w:pPr>
              <w:pStyle w:val="TableText"/>
              <w:keepLines w:val="0"/>
              <w:numPr>
                <w:ilvl w:val="0"/>
                <w:numId w:val="1"/>
              </w:numPr>
            </w:pPr>
          </w:p>
        </w:tc>
        <w:tc>
          <w:tcPr>
            <w:tcW w:w="6259" w:type="dxa"/>
            <w:gridSpan w:val="2"/>
          </w:tcPr>
          <w:p w:rsidR="007C59A4" w:rsidRPr="00E45174" w:rsidRDefault="00E45174" w:rsidP="008F6662">
            <w:pPr>
              <w:pStyle w:val="TableBlock"/>
              <w:rPr>
                <w:rtl/>
              </w:rPr>
            </w:pPr>
            <w:r w:rsidRPr="00C81489">
              <w:rPr>
                <w:rStyle w:val="default"/>
                <w:rFonts w:cs="David" w:hint="eastAsia"/>
                <w:rtl/>
              </w:rPr>
              <w:t>תחילתן</w:t>
            </w:r>
            <w:r w:rsidRPr="00C81489">
              <w:rPr>
                <w:rStyle w:val="default"/>
                <w:rFonts w:cs="David"/>
                <w:rtl/>
              </w:rPr>
              <w:t xml:space="preserve"> </w:t>
            </w:r>
            <w:r w:rsidRPr="00C81489">
              <w:rPr>
                <w:rStyle w:val="default"/>
                <w:rFonts w:cs="David" w:hint="eastAsia"/>
                <w:rtl/>
              </w:rPr>
              <w:t>של</w:t>
            </w:r>
            <w:r w:rsidRPr="00C81489">
              <w:rPr>
                <w:rStyle w:val="default"/>
                <w:rFonts w:cs="David"/>
                <w:rtl/>
              </w:rPr>
              <w:t xml:space="preserve"> </w:t>
            </w:r>
            <w:r w:rsidRPr="00C81489">
              <w:rPr>
                <w:rStyle w:val="default"/>
                <w:rFonts w:cs="David" w:hint="eastAsia"/>
                <w:rtl/>
              </w:rPr>
              <w:t>תקנות</w:t>
            </w:r>
            <w:r w:rsidRPr="00C81489">
              <w:rPr>
                <w:rStyle w:val="default"/>
                <w:rFonts w:cs="David"/>
                <w:rtl/>
              </w:rPr>
              <w:t xml:space="preserve"> </w:t>
            </w:r>
            <w:r w:rsidRPr="00C81489">
              <w:rPr>
                <w:rStyle w:val="default"/>
                <w:rFonts w:cs="David" w:hint="eastAsia"/>
                <w:rtl/>
              </w:rPr>
              <w:t>אל</w:t>
            </w:r>
            <w:r w:rsidR="003346DC" w:rsidRPr="00C81489">
              <w:rPr>
                <w:rStyle w:val="default"/>
                <w:rFonts w:cs="David" w:hint="eastAsia"/>
                <w:rtl/>
              </w:rPr>
              <w:t>ה</w:t>
            </w:r>
            <w:r w:rsidRPr="00C81489">
              <w:rPr>
                <w:rStyle w:val="default"/>
                <w:rFonts w:cs="David"/>
                <w:rtl/>
              </w:rPr>
              <w:t xml:space="preserve"> </w:t>
            </w:r>
            <w:r w:rsidR="008F6662" w:rsidRPr="00C81489">
              <w:rPr>
                <w:rStyle w:val="default"/>
                <w:rFonts w:cs="David" w:hint="eastAsia"/>
                <w:rtl/>
              </w:rPr>
              <w:t>ב</w:t>
            </w:r>
            <w:r w:rsidR="008F6662" w:rsidRPr="00C81489">
              <w:rPr>
                <w:rStyle w:val="default"/>
                <w:rFonts w:cs="David"/>
                <w:rtl/>
              </w:rPr>
              <w:t xml:space="preserve">-1 לחודש </w:t>
            </w:r>
            <w:r w:rsidR="009D19B4" w:rsidRPr="00C81489">
              <w:rPr>
                <w:rStyle w:val="default"/>
                <w:rFonts w:cs="David" w:hint="eastAsia"/>
                <w:rtl/>
              </w:rPr>
              <w:t>שבתום</w:t>
            </w:r>
            <w:r w:rsidR="009D19B4" w:rsidRPr="00C81489">
              <w:rPr>
                <w:rStyle w:val="default"/>
                <w:rFonts w:cs="David"/>
                <w:rtl/>
              </w:rPr>
              <w:t xml:space="preserve"> שלושה חודשים </w:t>
            </w:r>
            <w:r w:rsidR="008F6662" w:rsidRPr="00C81489">
              <w:rPr>
                <w:rStyle w:val="default"/>
                <w:rFonts w:cs="David" w:hint="eastAsia"/>
                <w:rtl/>
              </w:rPr>
              <w:t>מיום</w:t>
            </w:r>
            <w:r w:rsidR="008F6662" w:rsidRPr="00C81489">
              <w:rPr>
                <w:rStyle w:val="default"/>
                <w:rFonts w:cs="David"/>
                <w:rtl/>
              </w:rPr>
              <w:t xml:space="preserve"> </w:t>
            </w:r>
            <w:r w:rsidR="00EB7F09" w:rsidRPr="00C81489">
              <w:rPr>
                <w:rStyle w:val="default"/>
                <w:rFonts w:cs="David" w:hint="eastAsia"/>
                <w:rtl/>
              </w:rPr>
              <w:t>פרסומן</w:t>
            </w:r>
            <w:r w:rsidR="00EB7F09" w:rsidRPr="00C81489">
              <w:rPr>
                <w:rStyle w:val="default"/>
                <w:rFonts w:cs="David"/>
                <w:rtl/>
              </w:rPr>
              <w:t>.</w:t>
            </w:r>
          </w:p>
        </w:tc>
      </w:tr>
    </w:tbl>
    <w:p w:rsidR="005E7809" w:rsidRDefault="005E7809" w:rsidP="00B543A1">
      <w:pPr>
        <w:spacing w:line="240" w:lineRule="auto"/>
        <w:ind w:firstLine="0"/>
        <w:rPr>
          <w:rFonts w:cs="David"/>
          <w:color w:val="auto"/>
          <w:sz w:val="26"/>
          <w:szCs w:val="26"/>
          <w:rtl/>
        </w:rPr>
      </w:pPr>
    </w:p>
    <w:p w:rsidR="00EB3BAB" w:rsidRDefault="00EB3BAB" w:rsidP="00B543A1">
      <w:pPr>
        <w:spacing w:line="240" w:lineRule="auto"/>
        <w:ind w:firstLine="0"/>
        <w:rPr>
          <w:rFonts w:cs="David"/>
          <w:color w:val="auto"/>
          <w:sz w:val="26"/>
          <w:szCs w:val="26"/>
          <w:rtl/>
        </w:rPr>
      </w:pPr>
    </w:p>
    <w:p w:rsidR="00EB3BAB" w:rsidRDefault="00EB3BAB" w:rsidP="00B543A1">
      <w:pPr>
        <w:spacing w:line="240" w:lineRule="auto"/>
        <w:ind w:firstLine="0"/>
        <w:rPr>
          <w:rFonts w:cs="David"/>
          <w:color w:val="auto"/>
          <w:sz w:val="26"/>
          <w:szCs w:val="26"/>
          <w:rtl/>
        </w:rPr>
      </w:pPr>
    </w:p>
    <w:p w:rsidR="005D2EAE" w:rsidRPr="008774DD" w:rsidRDefault="005D2EAE" w:rsidP="00B543A1">
      <w:pPr>
        <w:spacing w:line="240" w:lineRule="auto"/>
        <w:ind w:firstLine="0"/>
        <w:rPr>
          <w:rFonts w:cs="David"/>
          <w:color w:val="auto"/>
          <w:sz w:val="26"/>
          <w:szCs w:val="26"/>
          <w:rtl/>
        </w:rPr>
      </w:pPr>
      <w:r w:rsidRPr="008774DD">
        <w:rPr>
          <w:rFonts w:cs="David"/>
          <w:color w:val="auto"/>
          <w:sz w:val="26"/>
          <w:szCs w:val="26"/>
          <w:rtl/>
        </w:rPr>
        <w:t>‏</w:t>
      </w:r>
      <w:r w:rsidRPr="008774DD">
        <w:rPr>
          <w:rFonts w:cs="David" w:hint="cs"/>
          <w:color w:val="auto"/>
          <w:sz w:val="26"/>
          <w:szCs w:val="26"/>
          <w:rtl/>
        </w:rPr>
        <w:t xml:space="preserve">_________ </w:t>
      </w:r>
      <w:proofErr w:type="spellStart"/>
      <w:r w:rsidRPr="008774DD">
        <w:rPr>
          <w:rFonts w:cs="David" w:hint="cs"/>
          <w:color w:val="auto"/>
          <w:sz w:val="26"/>
          <w:szCs w:val="26"/>
          <w:rtl/>
        </w:rPr>
        <w:t>ה</w:t>
      </w:r>
      <w:r w:rsidRPr="008774DD">
        <w:rPr>
          <w:rFonts w:cs="David"/>
          <w:color w:val="auto"/>
          <w:sz w:val="26"/>
          <w:szCs w:val="26"/>
          <w:rtl/>
        </w:rPr>
        <w:t>תשע"</w:t>
      </w:r>
      <w:r w:rsidR="00B543A1">
        <w:rPr>
          <w:rFonts w:cs="David" w:hint="cs"/>
          <w:color w:val="auto"/>
          <w:sz w:val="26"/>
          <w:szCs w:val="26"/>
          <w:rtl/>
        </w:rPr>
        <w:t>ח</w:t>
      </w:r>
      <w:proofErr w:type="spellEnd"/>
      <w:r w:rsidRPr="008774DD">
        <w:rPr>
          <w:rFonts w:cs="David" w:hint="cs"/>
          <w:color w:val="auto"/>
          <w:sz w:val="26"/>
          <w:szCs w:val="26"/>
          <w:rtl/>
        </w:rPr>
        <w:t xml:space="preserve"> </w:t>
      </w:r>
    </w:p>
    <w:p w:rsidR="005D2EAE" w:rsidRPr="008774DD" w:rsidRDefault="005D2EAE" w:rsidP="00850D62">
      <w:pPr>
        <w:spacing w:line="240" w:lineRule="auto"/>
        <w:ind w:firstLine="0"/>
        <w:rPr>
          <w:rFonts w:cs="David"/>
          <w:color w:val="auto"/>
          <w:sz w:val="26"/>
          <w:szCs w:val="26"/>
          <w:rtl/>
        </w:rPr>
      </w:pPr>
      <w:r w:rsidRPr="008774DD">
        <w:rPr>
          <w:rFonts w:cs="David" w:hint="cs"/>
          <w:color w:val="auto"/>
          <w:sz w:val="26"/>
          <w:szCs w:val="26"/>
          <w:rtl/>
        </w:rPr>
        <w:t xml:space="preserve">(___________ </w:t>
      </w:r>
      <w:r w:rsidR="00850D62">
        <w:rPr>
          <w:rFonts w:cs="David" w:hint="cs"/>
          <w:color w:val="auto"/>
          <w:sz w:val="26"/>
          <w:szCs w:val="26"/>
          <w:rtl/>
        </w:rPr>
        <w:t>2018</w:t>
      </w:r>
      <w:r w:rsidRPr="008774DD">
        <w:rPr>
          <w:rFonts w:cs="David" w:hint="cs"/>
          <w:color w:val="auto"/>
          <w:sz w:val="26"/>
          <w:szCs w:val="26"/>
          <w:rtl/>
        </w:rPr>
        <w:t>)</w:t>
      </w:r>
    </w:p>
    <w:p w:rsidR="005D2EAE" w:rsidRPr="008774DD" w:rsidRDefault="005D2EAE" w:rsidP="00123EEC">
      <w:pPr>
        <w:spacing w:line="240" w:lineRule="auto"/>
        <w:ind w:firstLine="0"/>
        <w:rPr>
          <w:rFonts w:cs="David"/>
          <w:color w:val="auto"/>
          <w:sz w:val="26"/>
          <w:szCs w:val="26"/>
          <w:rtl/>
        </w:rPr>
      </w:pPr>
      <w:r w:rsidRPr="008774DD">
        <w:rPr>
          <w:rFonts w:cs="David" w:hint="cs"/>
          <w:color w:val="auto"/>
          <w:sz w:val="26"/>
          <w:szCs w:val="26"/>
          <w:rtl/>
        </w:rPr>
        <w:t>(</w:t>
      </w:r>
      <w:proofErr w:type="spellStart"/>
      <w:r w:rsidRPr="008774DD">
        <w:rPr>
          <w:rFonts w:cs="David" w:hint="cs"/>
          <w:color w:val="auto"/>
          <w:sz w:val="26"/>
          <w:szCs w:val="26"/>
          <w:rtl/>
        </w:rPr>
        <w:t>חמ</w:t>
      </w:r>
      <w:proofErr w:type="spellEnd"/>
      <w:r w:rsidRPr="008774DD">
        <w:rPr>
          <w:rFonts w:cs="David" w:hint="cs"/>
          <w:color w:val="auto"/>
          <w:sz w:val="26"/>
          <w:szCs w:val="26"/>
          <w:rtl/>
        </w:rPr>
        <w:t xml:space="preserve"> </w:t>
      </w:r>
      <w:r w:rsidR="009C20D3" w:rsidRPr="008774DD">
        <w:rPr>
          <w:rFonts w:cs="David"/>
          <w:color w:val="auto"/>
          <w:sz w:val="26"/>
          <w:szCs w:val="26"/>
          <w:rtl/>
        </w:rPr>
        <w:t>3-</w:t>
      </w:r>
      <w:r w:rsidR="00123EEC" w:rsidRPr="008774DD">
        <w:rPr>
          <w:rFonts w:cs="David"/>
          <w:color w:val="auto"/>
          <w:sz w:val="26"/>
          <w:szCs w:val="26"/>
          <w:rtl/>
        </w:rPr>
        <w:t>5</w:t>
      </w:r>
      <w:r w:rsidR="00123EEC">
        <w:rPr>
          <w:rFonts w:cs="David" w:hint="cs"/>
          <w:color w:val="auto"/>
          <w:sz w:val="26"/>
          <w:szCs w:val="26"/>
          <w:rtl/>
        </w:rPr>
        <w:t>549</w:t>
      </w:r>
      <w:r w:rsidRPr="008774DD">
        <w:rPr>
          <w:rFonts w:cs="David" w:hint="cs"/>
          <w:color w:val="auto"/>
          <w:sz w:val="26"/>
          <w:szCs w:val="26"/>
          <w:rtl/>
        </w:rPr>
        <w:t>)</w:t>
      </w:r>
    </w:p>
    <w:p w:rsidR="00EB3BAB" w:rsidRDefault="00EB3BAB" w:rsidP="00013939">
      <w:pPr>
        <w:spacing w:line="240" w:lineRule="auto"/>
        <w:ind w:left="4321" w:firstLine="0"/>
        <w:jc w:val="center"/>
        <w:rPr>
          <w:rFonts w:cs="David"/>
          <w:color w:val="auto"/>
          <w:sz w:val="26"/>
          <w:szCs w:val="26"/>
          <w:rtl/>
        </w:rPr>
      </w:pPr>
    </w:p>
    <w:p w:rsidR="00EB3BAB" w:rsidRDefault="00EB3BAB" w:rsidP="00013939">
      <w:pPr>
        <w:spacing w:line="240" w:lineRule="auto"/>
        <w:ind w:left="4321" w:firstLine="0"/>
        <w:jc w:val="center"/>
        <w:rPr>
          <w:rFonts w:cs="David"/>
          <w:color w:val="auto"/>
          <w:sz w:val="26"/>
          <w:szCs w:val="26"/>
          <w:rtl/>
        </w:rPr>
      </w:pPr>
    </w:p>
    <w:p w:rsidR="005D2EAE" w:rsidRPr="007B03B7" w:rsidRDefault="005D2EAE" w:rsidP="00EB3BAB">
      <w:pPr>
        <w:spacing w:line="240" w:lineRule="auto"/>
        <w:ind w:left="4321" w:firstLine="719"/>
        <w:jc w:val="center"/>
        <w:rPr>
          <w:rFonts w:cs="David"/>
          <w:color w:val="auto"/>
          <w:sz w:val="26"/>
          <w:szCs w:val="26"/>
          <w:rtl/>
        </w:rPr>
      </w:pPr>
      <w:r w:rsidRPr="007B03B7">
        <w:rPr>
          <w:rFonts w:cs="David" w:hint="cs"/>
          <w:color w:val="auto"/>
          <w:sz w:val="26"/>
          <w:szCs w:val="26"/>
          <w:rtl/>
        </w:rPr>
        <w:t xml:space="preserve">אריה </w:t>
      </w:r>
      <w:proofErr w:type="spellStart"/>
      <w:r w:rsidR="000B45E2" w:rsidRPr="007B03B7">
        <w:rPr>
          <w:rFonts w:cs="David" w:hint="cs"/>
          <w:color w:val="auto"/>
          <w:sz w:val="26"/>
          <w:szCs w:val="26"/>
          <w:rtl/>
        </w:rPr>
        <w:t>מכלוף</w:t>
      </w:r>
      <w:proofErr w:type="spellEnd"/>
      <w:r w:rsidR="000B45E2" w:rsidRPr="007B03B7">
        <w:rPr>
          <w:rFonts w:cs="David" w:hint="cs"/>
          <w:color w:val="auto"/>
          <w:sz w:val="26"/>
          <w:szCs w:val="26"/>
          <w:rtl/>
        </w:rPr>
        <w:t xml:space="preserve"> </w:t>
      </w:r>
      <w:r w:rsidRPr="007B03B7">
        <w:rPr>
          <w:rFonts w:cs="David" w:hint="cs"/>
          <w:color w:val="auto"/>
          <w:sz w:val="26"/>
          <w:szCs w:val="26"/>
          <w:rtl/>
        </w:rPr>
        <w:t>דרעי</w:t>
      </w:r>
    </w:p>
    <w:p w:rsidR="00A05DA3" w:rsidRPr="009332A1" w:rsidRDefault="005D2EAE" w:rsidP="00EB3BAB">
      <w:pPr>
        <w:spacing w:line="240" w:lineRule="auto"/>
        <w:ind w:left="4321" w:firstLine="719"/>
        <w:jc w:val="center"/>
        <w:rPr>
          <w:rFonts w:cs="David"/>
          <w:color w:val="auto"/>
          <w:sz w:val="26"/>
          <w:szCs w:val="26"/>
          <w:rtl/>
        </w:rPr>
      </w:pPr>
      <w:r w:rsidRPr="007B03B7">
        <w:rPr>
          <w:rFonts w:cs="David" w:hint="cs"/>
          <w:color w:val="auto"/>
          <w:sz w:val="26"/>
          <w:szCs w:val="26"/>
          <w:rtl/>
        </w:rPr>
        <w:t>שר הפנים</w:t>
      </w:r>
    </w:p>
    <w:p w:rsidR="00C35BCA" w:rsidRDefault="00C35BCA">
      <w:pPr>
        <w:widowControl/>
        <w:autoSpaceDE/>
        <w:autoSpaceDN/>
        <w:bidi w:val="0"/>
        <w:adjustRightInd/>
        <w:spacing w:before="0" w:after="200" w:line="276" w:lineRule="auto"/>
        <w:ind w:firstLine="0"/>
        <w:jc w:val="left"/>
        <w:textAlignment w:val="auto"/>
        <w:rPr>
          <w:rFonts w:ascii="Arial" w:eastAsia="Arial Unicode MS" w:hAnsi="Arial" w:cs="David"/>
          <w:bCs/>
          <w:snapToGrid w:val="0"/>
          <w:spacing w:val="40"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0641EA" w:rsidRPr="007E2F06" w:rsidRDefault="000641EA" w:rsidP="000641EA">
      <w:pPr>
        <w:pStyle w:val="HeadDivreiHesber"/>
        <w:spacing w:before="0"/>
        <w:rPr>
          <w:b w:val="0"/>
          <w:bCs/>
          <w:sz w:val="24"/>
          <w:szCs w:val="24"/>
        </w:rPr>
      </w:pPr>
      <w:r w:rsidRPr="007E2F06">
        <w:rPr>
          <w:rFonts w:hint="cs"/>
          <w:b w:val="0"/>
          <w:bCs/>
          <w:sz w:val="24"/>
          <w:szCs w:val="24"/>
          <w:rtl/>
        </w:rPr>
        <w:lastRenderedPageBreak/>
        <w:t>דברי הסבר</w:t>
      </w:r>
    </w:p>
    <w:p w:rsidR="00A9049A" w:rsidRDefault="000641EA" w:rsidP="00A9049A">
      <w:pPr>
        <w:pStyle w:val="HeadDivreiHesber"/>
        <w:spacing w:before="0" w:line="276" w:lineRule="auto"/>
        <w:jc w:val="both"/>
        <w:rPr>
          <w:sz w:val="24"/>
          <w:szCs w:val="24"/>
          <w:rtl/>
        </w:rPr>
      </w:pPr>
      <w:r w:rsidRPr="000641EA">
        <w:rPr>
          <w:sz w:val="24"/>
          <w:szCs w:val="24"/>
          <w:rtl/>
        </w:rPr>
        <w:t>פרק ד' לחוק עובדי</w:t>
      </w:r>
      <w:r w:rsidR="00A9049A">
        <w:rPr>
          <w:sz w:val="24"/>
          <w:szCs w:val="24"/>
          <w:rtl/>
        </w:rPr>
        <w:t xml:space="preserve">ם זרים, </w:t>
      </w:r>
      <w:proofErr w:type="spellStart"/>
      <w:r w:rsidR="00A9049A">
        <w:rPr>
          <w:sz w:val="24"/>
          <w:szCs w:val="24"/>
          <w:rtl/>
        </w:rPr>
        <w:t>התשנ"א</w:t>
      </w:r>
      <w:proofErr w:type="spellEnd"/>
      <w:r w:rsidR="00A9049A">
        <w:rPr>
          <w:sz w:val="24"/>
          <w:szCs w:val="24"/>
          <w:rtl/>
        </w:rPr>
        <w:t xml:space="preserve"> – 1991, (להלן – </w:t>
      </w:r>
      <w:r w:rsidR="00FF746E">
        <w:rPr>
          <w:rFonts w:hint="cs"/>
          <w:sz w:val="24"/>
          <w:szCs w:val="24"/>
          <w:rtl/>
        </w:rPr>
        <w:t>"</w:t>
      </w:r>
      <w:r w:rsidRPr="000641EA">
        <w:rPr>
          <w:sz w:val="24"/>
          <w:szCs w:val="24"/>
          <w:rtl/>
        </w:rPr>
        <w:t>חוק</w:t>
      </w:r>
      <w:r w:rsidR="00A9049A">
        <w:rPr>
          <w:rFonts w:hint="cs"/>
          <w:sz w:val="24"/>
          <w:szCs w:val="24"/>
          <w:rtl/>
        </w:rPr>
        <w:t xml:space="preserve"> עובדים זרים</w:t>
      </w:r>
      <w:r w:rsidR="00FF746E">
        <w:rPr>
          <w:rFonts w:hint="cs"/>
          <w:sz w:val="24"/>
          <w:szCs w:val="24"/>
          <w:rtl/>
        </w:rPr>
        <w:t>"| או "החוק"</w:t>
      </w:r>
      <w:r w:rsidRPr="000641EA">
        <w:rPr>
          <w:sz w:val="24"/>
          <w:szCs w:val="24"/>
          <w:rtl/>
        </w:rPr>
        <w:t xml:space="preserve">) קובע הוראות בדבר הפקדת כספים לטובת עובד זר בקרן או בפיקדון. </w:t>
      </w:r>
    </w:p>
    <w:p w:rsidR="000641EA" w:rsidRDefault="00A9049A" w:rsidP="00A9049A">
      <w:pPr>
        <w:pStyle w:val="HeadDivreiHesber"/>
        <w:spacing w:before="0" w:line="276" w:lineRule="auto"/>
        <w:jc w:val="both"/>
        <w:rPr>
          <w:sz w:val="24"/>
          <w:szCs w:val="24"/>
          <w:rtl/>
        </w:rPr>
      </w:pPr>
      <w:r w:rsidRPr="00A9049A">
        <w:rPr>
          <w:sz w:val="24"/>
          <w:szCs w:val="24"/>
          <w:rtl/>
        </w:rPr>
        <w:t xml:space="preserve">ביום 10.1.2017 פורסם חוק למניעת הסתננות ולהבטחת יציאתם של מסתננים מישראל (תיקוני חקיקה והוראות שעה)(תיקון), התשע"ז-2017, אשר מכוחו נכנס ביום 1.5.2017 לתוקף תיקון לחוק עובדים זרים, התשנ"א-1991 (להלן – חוק עובדים זרים) המחייב מעסיק של </w:t>
      </w:r>
      <w:r w:rsidR="00716BE8">
        <w:rPr>
          <w:rFonts w:hint="cs"/>
          <w:sz w:val="24"/>
          <w:szCs w:val="24"/>
          <w:rtl/>
        </w:rPr>
        <w:t xml:space="preserve">עובד זר שהוא </w:t>
      </w:r>
      <w:r w:rsidRPr="00A9049A">
        <w:rPr>
          <w:sz w:val="24"/>
          <w:szCs w:val="24"/>
          <w:rtl/>
        </w:rPr>
        <w:t>מסתנן להפקיד, מדי חודש, פיקדון כספי בגין כל חודש בו הועסק העובד המסתנן.</w:t>
      </w:r>
    </w:p>
    <w:p w:rsidR="00A9049A" w:rsidRDefault="00A9049A" w:rsidP="00A9049A">
      <w:pPr>
        <w:pStyle w:val="HeadDivreiHesber"/>
        <w:spacing w:before="0" w:line="276" w:lineRule="auto"/>
        <w:jc w:val="both"/>
        <w:rPr>
          <w:sz w:val="24"/>
          <w:szCs w:val="24"/>
          <w:rtl/>
        </w:rPr>
      </w:pPr>
      <w:r w:rsidRPr="00A9049A">
        <w:rPr>
          <w:sz w:val="24"/>
          <w:szCs w:val="24"/>
          <w:rtl/>
        </w:rPr>
        <w:t xml:space="preserve">בהתאם לסעיף 1יא1(א) לחוק עובדים זרים, סכום הפיקדון החודשי אותו </w:t>
      </w:r>
      <w:proofErr w:type="spellStart"/>
      <w:r w:rsidRPr="00A9049A">
        <w:rPr>
          <w:sz w:val="24"/>
          <w:szCs w:val="24"/>
          <w:rtl/>
        </w:rPr>
        <w:t>מחוייב</w:t>
      </w:r>
      <w:proofErr w:type="spellEnd"/>
      <w:r w:rsidRPr="00A9049A">
        <w:rPr>
          <w:sz w:val="24"/>
          <w:szCs w:val="24"/>
          <w:rtl/>
        </w:rPr>
        <w:t xml:space="preserve"> מעסיקו של המסתנן להפקיד, מדי חודש, הנו סכום השווה ל-36% משכר עבודתו של המסתנן באותו החודש: 20% כחלק העובד (ניכוי משכר העובד</w:t>
      </w:r>
      <w:r w:rsidR="00194EC6">
        <w:rPr>
          <w:rFonts w:hint="cs"/>
          <w:sz w:val="24"/>
          <w:szCs w:val="24"/>
          <w:rtl/>
        </w:rPr>
        <w:t xml:space="preserve">, להלן </w:t>
      </w:r>
      <w:r w:rsidR="00194EC6">
        <w:rPr>
          <w:sz w:val="24"/>
          <w:szCs w:val="24"/>
          <w:rtl/>
        </w:rPr>
        <w:t>–</w:t>
      </w:r>
      <w:r w:rsidR="00194EC6">
        <w:rPr>
          <w:rFonts w:hint="cs"/>
          <w:sz w:val="24"/>
          <w:szCs w:val="24"/>
          <w:rtl/>
        </w:rPr>
        <w:t xml:space="preserve"> "חלק העובד"</w:t>
      </w:r>
      <w:r w:rsidRPr="00A9049A">
        <w:rPr>
          <w:sz w:val="24"/>
          <w:szCs w:val="24"/>
          <w:rtl/>
        </w:rPr>
        <w:t>), ו-16% כחלק המעסיק (הפרשה על חשבון המעסיק, בנוסף לשכרו של העובד).</w:t>
      </w:r>
    </w:p>
    <w:p w:rsidR="00FF746E" w:rsidRDefault="00A35D6D" w:rsidP="00A35D6D">
      <w:pPr>
        <w:pStyle w:val="HeadDivreiHesber"/>
        <w:spacing w:before="0" w:line="276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על פי ס</w:t>
      </w:r>
      <w:r w:rsidR="00FF746E">
        <w:rPr>
          <w:rFonts w:hint="cs"/>
          <w:sz w:val="24"/>
          <w:szCs w:val="24"/>
          <w:rtl/>
        </w:rPr>
        <w:t>עיף</w:t>
      </w:r>
      <w:r w:rsidR="005A1634">
        <w:rPr>
          <w:rFonts w:hint="cs"/>
          <w:sz w:val="24"/>
          <w:szCs w:val="24"/>
          <w:rtl/>
        </w:rPr>
        <w:t xml:space="preserve"> 1יא(ד)</w:t>
      </w:r>
      <w:r w:rsidR="00FF746E">
        <w:rPr>
          <w:rFonts w:hint="cs"/>
          <w:sz w:val="24"/>
          <w:szCs w:val="24"/>
          <w:rtl/>
        </w:rPr>
        <w:t xml:space="preserve">, זכאותו של </w:t>
      </w:r>
      <w:r w:rsidR="005A1634">
        <w:rPr>
          <w:rFonts w:hint="cs"/>
          <w:sz w:val="24"/>
          <w:szCs w:val="24"/>
          <w:rtl/>
        </w:rPr>
        <w:t>העובד המסתנן</w:t>
      </w:r>
      <w:r w:rsidR="00FF746E">
        <w:rPr>
          <w:rFonts w:hint="cs"/>
          <w:sz w:val="24"/>
          <w:szCs w:val="24"/>
          <w:rtl/>
        </w:rPr>
        <w:t xml:space="preserve"> לקבלת </w:t>
      </w:r>
      <w:r w:rsidR="002D1EA2">
        <w:rPr>
          <w:rFonts w:hint="cs"/>
          <w:sz w:val="24"/>
          <w:szCs w:val="24"/>
          <w:rtl/>
        </w:rPr>
        <w:t>כספי הפיקדון שהופקדו בעדו, קמה ב</w:t>
      </w:r>
      <w:r w:rsidR="00FF746E">
        <w:rPr>
          <w:rFonts w:hint="cs"/>
          <w:sz w:val="24"/>
          <w:szCs w:val="24"/>
          <w:rtl/>
        </w:rPr>
        <w:t xml:space="preserve">עת עזיבתו </w:t>
      </w:r>
      <w:r w:rsidR="00F115D9">
        <w:rPr>
          <w:rFonts w:hint="cs"/>
          <w:sz w:val="24"/>
          <w:szCs w:val="24"/>
          <w:rtl/>
        </w:rPr>
        <w:t>את ישראל שלא לצורך יציאה זמנית. מתכונת קבלת חלקי</w:t>
      </w:r>
      <w:r w:rsidR="005A1634">
        <w:rPr>
          <w:rFonts w:hint="cs"/>
          <w:sz w:val="24"/>
          <w:szCs w:val="24"/>
          <w:rtl/>
        </w:rPr>
        <w:t xml:space="preserve"> הפיקדון שהעובד </w:t>
      </w:r>
      <w:r w:rsidR="00F115D9">
        <w:rPr>
          <w:rFonts w:hint="cs"/>
          <w:sz w:val="24"/>
          <w:szCs w:val="24"/>
          <w:rtl/>
        </w:rPr>
        <w:t xml:space="preserve">המסתנן </w:t>
      </w:r>
      <w:r w:rsidR="005A1634">
        <w:rPr>
          <w:rFonts w:hint="cs"/>
          <w:sz w:val="24"/>
          <w:szCs w:val="24"/>
          <w:rtl/>
        </w:rPr>
        <w:t>זכאי לקבל</w:t>
      </w:r>
      <w:r w:rsidR="00F115D9">
        <w:rPr>
          <w:rFonts w:hint="cs"/>
          <w:sz w:val="24"/>
          <w:szCs w:val="24"/>
          <w:rtl/>
        </w:rPr>
        <w:t>, ובכלל זה החלקים הכפופים לניכויים בגין שהייה שלא כדין, מפורטים</w:t>
      </w:r>
      <w:r w:rsidR="00FF746E">
        <w:rPr>
          <w:rFonts w:hint="cs"/>
          <w:sz w:val="24"/>
          <w:szCs w:val="24"/>
          <w:rtl/>
        </w:rPr>
        <w:t xml:space="preserve"> בסעיף </w:t>
      </w:r>
      <w:r w:rsidR="005A1634">
        <w:rPr>
          <w:rFonts w:hint="cs"/>
          <w:sz w:val="24"/>
          <w:szCs w:val="24"/>
          <w:rtl/>
        </w:rPr>
        <w:t>1יא(4) לחוק</w:t>
      </w:r>
      <w:r w:rsidR="00FF746E">
        <w:rPr>
          <w:rFonts w:hint="cs"/>
          <w:sz w:val="24"/>
          <w:szCs w:val="24"/>
          <w:rtl/>
        </w:rPr>
        <w:t>.</w:t>
      </w:r>
    </w:p>
    <w:p w:rsidR="002C3F06" w:rsidRDefault="00FF746E" w:rsidP="003A49B3">
      <w:pPr>
        <w:pStyle w:val="HeadDivreiHesber"/>
        <w:spacing w:before="0" w:line="276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סעיף 1יא(ז)(3) לחוק עובדים זרים קובע את סמכותו של שר הפנים, בהסכמת שר </w:t>
      </w:r>
      <w:r w:rsidR="00735C5F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>אוצר ובאישור ועדת העבודה</w:t>
      </w:r>
      <w:r w:rsidR="00202CED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הרווחה והבריאות של הכנסת, לקבוע </w:t>
      </w:r>
      <w:r w:rsidRPr="00FF746E">
        <w:rPr>
          <w:rFonts w:hint="cs"/>
          <w:sz w:val="24"/>
          <w:szCs w:val="24"/>
          <w:rtl/>
        </w:rPr>
        <w:t xml:space="preserve">סוגי מקרים ותנאים </w:t>
      </w:r>
      <w:proofErr w:type="spellStart"/>
      <w:r w:rsidRPr="00FF746E">
        <w:rPr>
          <w:rFonts w:hint="cs"/>
          <w:sz w:val="24"/>
          <w:szCs w:val="24"/>
          <w:rtl/>
        </w:rPr>
        <w:t>שבהתקיימם</w:t>
      </w:r>
      <w:proofErr w:type="spellEnd"/>
      <w:r w:rsidRPr="00FF746E">
        <w:rPr>
          <w:rFonts w:hint="cs"/>
          <w:sz w:val="24"/>
          <w:szCs w:val="24"/>
          <w:rtl/>
        </w:rPr>
        <w:t xml:space="preserve"> יהיה עובד זר רשאי לקבל את כספי הפיקדון כולם או חלק</w:t>
      </w:r>
      <w:r w:rsidR="00A6630E">
        <w:rPr>
          <w:rFonts w:hint="cs"/>
          <w:sz w:val="24"/>
          <w:szCs w:val="24"/>
          <w:rtl/>
        </w:rPr>
        <w:t>ם, אף לפני המועד האמור בסעיף</w:t>
      </w:r>
      <w:r w:rsidRPr="00FF746E">
        <w:rPr>
          <w:rFonts w:hint="cs"/>
          <w:sz w:val="24"/>
          <w:szCs w:val="24"/>
          <w:rtl/>
        </w:rPr>
        <w:t xml:space="preserve"> </w:t>
      </w:r>
      <w:r w:rsidR="00A6630E">
        <w:rPr>
          <w:rFonts w:hint="cs"/>
          <w:sz w:val="24"/>
          <w:szCs w:val="24"/>
          <w:rtl/>
        </w:rPr>
        <w:t>1יא</w:t>
      </w:r>
      <w:r w:rsidRPr="00FF746E">
        <w:rPr>
          <w:rFonts w:hint="cs"/>
          <w:sz w:val="24"/>
          <w:szCs w:val="24"/>
          <w:rtl/>
        </w:rPr>
        <w:t>(ד)</w:t>
      </w:r>
      <w:r w:rsidR="0039147A">
        <w:rPr>
          <w:rFonts w:hint="cs"/>
          <w:sz w:val="24"/>
          <w:szCs w:val="24"/>
          <w:rtl/>
        </w:rPr>
        <w:t xml:space="preserve"> לחוק</w:t>
      </w:r>
      <w:r w:rsidR="00181473">
        <w:rPr>
          <w:rFonts w:hint="cs"/>
          <w:sz w:val="24"/>
          <w:szCs w:val="24"/>
          <w:rtl/>
        </w:rPr>
        <w:t xml:space="preserve">. </w:t>
      </w:r>
    </w:p>
    <w:p w:rsidR="00DD1634" w:rsidRDefault="00181473" w:rsidP="007A258F">
      <w:pPr>
        <w:pStyle w:val="HeadDivreiHesber"/>
        <w:spacing w:before="0" w:line="276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מתוקף סמכות זו, מותקנות תקנות אלו שנועדו לקבוע סוגים של עובדים מסתננים בעלי מאפיינים הומניטריים </w:t>
      </w:r>
      <w:r w:rsidR="005D1C57">
        <w:rPr>
          <w:rFonts w:hint="cs"/>
          <w:sz w:val="24"/>
          <w:szCs w:val="24"/>
          <w:rtl/>
        </w:rPr>
        <w:t xml:space="preserve">מיוחדים, </w:t>
      </w:r>
      <w:r>
        <w:rPr>
          <w:rFonts w:hint="cs"/>
          <w:sz w:val="24"/>
          <w:szCs w:val="24"/>
          <w:rtl/>
        </w:rPr>
        <w:t>אשר יהיו רשאים לקבל</w:t>
      </w:r>
      <w:r w:rsidR="00194EC6">
        <w:rPr>
          <w:rFonts w:hint="cs"/>
          <w:sz w:val="24"/>
          <w:szCs w:val="24"/>
          <w:rtl/>
        </w:rPr>
        <w:t xml:space="preserve"> </w:t>
      </w:r>
      <w:r w:rsidR="00194EC6" w:rsidRPr="00194EC6">
        <w:rPr>
          <w:rFonts w:hint="cs"/>
          <w:sz w:val="24"/>
          <w:szCs w:val="24"/>
          <w:rtl/>
        </w:rPr>
        <w:t>חלק השווה ל-70%</w:t>
      </w:r>
      <w:r w:rsidR="00194EC6">
        <w:rPr>
          <w:rFonts w:hint="cs"/>
          <w:sz w:val="24"/>
          <w:szCs w:val="24"/>
          <w:rtl/>
        </w:rPr>
        <w:t xml:space="preserve"> מחלק העובד. </w:t>
      </w:r>
    </w:p>
    <w:p w:rsidR="00FF746E" w:rsidRDefault="00194EC6" w:rsidP="007A258F">
      <w:pPr>
        <w:pStyle w:val="HeadDivreiHesber"/>
        <w:spacing w:before="0" w:line="276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שיעור זה נקבע על מנת לאזן </w:t>
      </w:r>
      <w:r w:rsidRPr="00194EC6">
        <w:rPr>
          <w:sz w:val="24"/>
          <w:szCs w:val="24"/>
          <w:rtl/>
        </w:rPr>
        <w:t>מח</w:t>
      </w:r>
      <w:r>
        <w:rPr>
          <w:sz w:val="24"/>
          <w:szCs w:val="24"/>
          <w:rtl/>
        </w:rPr>
        <w:t>ד גיסא בין הצרכים ההומניטריים</w:t>
      </w:r>
      <w:r w:rsidR="00FC3E83">
        <w:rPr>
          <w:rFonts w:hint="cs"/>
          <w:sz w:val="24"/>
          <w:szCs w:val="24"/>
          <w:rtl/>
        </w:rPr>
        <w:t xml:space="preserve"> של העובדים המסתננים שעליהם </w:t>
      </w:r>
      <w:r w:rsidR="003A49B3">
        <w:rPr>
          <w:rFonts w:hint="cs"/>
          <w:sz w:val="24"/>
          <w:szCs w:val="24"/>
          <w:rtl/>
        </w:rPr>
        <w:t>תחולנה</w:t>
      </w:r>
      <w:r w:rsidR="0046783B">
        <w:rPr>
          <w:rFonts w:hint="cs"/>
          <w:sz w:val="24"/>
          <w:szCs w:val="24"/>
          <w:rtl/>
        </w:rPr>
        <w:t xml:space="preserve"> ת</w:t>
      </w:r>
      <w:r>
        <w:rPr>
          <w:rFonts w:hint="cs"/>
          <w:sz w:val="24"/>
          <w:szCs w:val="24"/>
          <w:rtl/>
        </w:rPr>
        <w:t>קנות אלו</w:t>
      </w:r>
      <w:r w:rsidRPr="00194EC6">
        <w:rPr>
          <w:sz w:val="24"/>
          <w:szCs w:val="24"/>
          <w:rtl/>
        </w:rPr>
        <w:t xml:space="preserve">, ומאידך גיסא לשמר </w:t>
      </w:r>
      <w:r w:rsidR="00DA7E44">
        <w:rPr>
          <w:sz w:val="24"/>
          <w:szCs w:val="24"/>
          <w:rtl/>
        </w:rPr>
        <w:t>למסתנ</w:t>
      </w:r>
      <w:r w:rsidR="00DA7E44">
        <w:rPr>
          <w:rFonts w:hint="cs"/>
          <w:sz w:val="24"/>
          <w:szCs w:val="24"/>
          <w:rtl/>
        </w:rPr>
        <w:t>ננים</w:t>
      </w:r>
      <w:r w:rsidR="00DA7E44" w:rsidRPr="00194EC6">
        <w:rPr>
          <w:sz w:val="24"/>
          <w:szCs w:val="24"/>
          <w:rtl/>
        </w:rPr>
        <w:t xml:space="preserve"> </w:t>
      </w:r>
      <w:r w:rsidR="00DA7E44">
        <w:rPr>
          <w:rFonts w:hint="cs"/>
          <w:sz w:val="24"/>
          <w:szCs w:val="24"/>
          <w:rtl/>
        </w:rPr>
        <w:t xml:space="preserve">כאמור </w:t>
      </w:r>
      <w:r w:rsidRPr="00194EC6">
        <w:rPr>
          <w:sz w:val="24"/>
          <w:szCs w:val="24"/>
          <w:rtl/>
        </w:rPr>
        <w:t xml:space="preserve">מסגרת קיימת של חיסכון בשיעור של </w:t>
      </w:r>
      <w:r>
        <w:rPr>
          <w:rFonts w:hint="cs"/>
          <w:sz w:val="24"/>
          <w:szCs w:val="24"/>
          <w:rtl/>
        </w:rPr>
        <w:t>30</w:t>
      </w:r>
      <w:r w:rsidRPr="00194EC6">
        <w:rPr>
          <w:sz w:val="24"/>
          <w:szCs w:val="24"/>
          <w:rtl/>
        </w:rPr>
        <w:t xml:space="preserve">% מתוך ה-20% של חלק העובד, כלומר </w:t>
      </w:r>
      <w:r>
        <w:rPr>
          <w:rFonts w:hint="cs"/>
          <w:sz w:val="24"/>
          <w:szCs w:val="24"/>
          <w:rtl/>
        </w:rPr>
        <w:t>6</w:t>
      </w:r>
      <w:r w:rsidRPr="00194EC6">
        <w:rPr>
          <w:sz w:val="24"/>
          <w:szCs w:val="24"/>
          <w:rtl/>
        </w:rPr>
        <w:t>% מתוך שכר הברוטו</w:t>
      </w:r>
      <w:r>
        <w:rPr>
          <w:rFonts w:hint="cs"/>
          <w:sz w:val="24"/>
          <w:szCs w:val="24"/>
          <w:rtl/>
        </w:rPr>
        <w:t>, שהנו שיעור השווה לשיעור הניכוי עבור פנסיה הקבוע בצו ההרחבה לפנסיה חובה.</w:t>
      </w:r>
    </w:p>
    <w:p w:rsidR="002C3F06" w:rsidRPr="00A9049A" w:rsidRDefault="0050773C" w:rsidP="00E33EA4">
      <w:pPr>
        <w:pStyle w:val="HeadDivreiHesber"/>
        <w:spacing w:before="0" w:line="276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בהתאם לתקנות אלו, את הפיקדון החלקי לעובד הזר המסתנן שיימצא זכאי לכך, יקבל העובד </w:t>
      </w:r>
      <w:r w:rsidR="00084B24">
        <w:rPr>
          <w:rFonts w:hint="cs"/>
          <w:sz w:val="24"/>
          <w:szCs w:val="24"/>
          <w:rtl/>
        </w:rPr>
        <w:t xml:space="preserve">בדרך של אי ניכוי שיעור הפיקדון החלקי </w:t>
      </w:r>
      <w:r w:rsidR="00197826">
        <w:rPr>
          <w:rFonts w:hint="cs"/>
          <w:sz w:val="24"/>
          <w:szCs w:val="24"/>
          <w:rtl/>
        </w:rPr>
        <w:t xml:space="preserve">על ידי מעסיקו של העובד הזר המסתנן </w:t>
      </w:r>
      <w:r w:rsidR="00084B24">
        <w:rPr>
          <w:rFonts w:hint="cs"/>
          <w:sz w:val="24"/>
          <w:szCs w:val="24"/>
          <w:rtl/>
        </w:rPr>
        <w:t>משכר עבודתו</w:t>
      </w:r>
      <w:r>
        <w:rPr>
          <w:rFonts w:hint="cs"/>
          <w:sz w:val="24"/>
          <w:szCs w:val="24"/>
          <w:rtl/>
        </w:rPr>
        <w:t>, בכפוף לכך שהעובד יציג בפני מעסיקו אישור בכתב מרשות האוכלוסין וההגירה אודות זכאותו לפיקדון החלקי.</w:t>
      </w:r>
    </w:p>
    <w:p w:rsidR="00A9049A" w:rsidRPr="00A9049A" w:rsidRDefault="00A9049A" w:rsidP="00A9049A">
      <w:pPr>
        <w:pStyle w:val="HeadDivreiHesber"/>
        <w:spacing w:before="0" w:line="276" w:lineRule="auto"/>
        <w:jc w:val="both"/>
        <w:rPr>
          <w:sz w:val="24"/>
          <w:szCs w:val="24"/>
          <w:rtl/>
        </w:rPr>
      </w:pPr>
    </w:p>
    <w:sectPr w:rsidR="00A9049A" w:rsidRPr="00A9049A" w:rsidSect="00C62B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E12" w:rsidRDefault="00636E12" w:rsidP="008756E6">
      <w:pPr>
        <w:spacing w:before="0" w:line="240" w:lineRule="auto"/>
      </w:pPr>
      <w:r>
        <w:separator/>
      </w:r>
    </w:p>
  </w:endnote>
  <w:endnote w:type="continuationSeparator" w:id="0">
    <w:p w:rsidR="00636E12" w:rsidRDefault="00636E12" w:rsidP="008756E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E12" w:rsidRDefault="00636E12" w:rsidP="008756E6">
      <w:pPr>
        <w:spacing w:before="0" w:line="240" w:lineRule="auto"/>
      </w:pPr>
      <w:r>
        <w:separator/>
      </w:r>
    </w:p>
  </w:footnote>
  <w:footnote w:type="continuationSeparator" w:id="0">
    <w:p w:rsidR="00636E12" w:rsidRDefault="00636E12" w:rsidP="008756E6">
      <w:pPr>
        <w:spacing w:before="0" w:line="240" w:lineRule="auto"/>
      </w:pPr>
      <w:r>
        <w:continuationSeparator/>
      </w:r>
    </w:p>
  </w:footnote>
  <w:footnote w:id="1">
    <w:p w:rsidR="002C3F06" w:rsidRPr="00A51964" w:rsidRDefault="002C3F06" w:rsidP="00F7471D">
      <w:pPr>
        <w:pStyle w:val="a5"/>
        <w:rPr>
          <w:sz w:val="20"/>
          <w:szCs w:val="20"/>
        </w:rPr>
      </w:pPr>
      <w:r w:rsidRPr="00A51964">
        <w:rPr>
          <w:rStyle w:val="a7"/>
          <w:sz w:val="20"/>
          <w:szCs w:val="20"/>
        </w:rPr>
        <w:footnoteRef/>
      </w:r>
      <w:r w:rsidRPr="00A51964">
        <w:rPr>
          <w:sz w:val="20"/>
          <w:szCs w:val="20"/>
          <w:rtl/>
        </w:rPr>
        <w:t xml:space="preserve"> </w:t>
      </w:r>
      <w:r w:rsidRPr="00A51964">
        <w:rPr>
          <w:rFonts w:hint="cs"/>
          <w:sz w:val="20"/>
          <w:szCs w:val="20"/>
          <w:rtl/>
        </w:rPr>
        <w:t xml:space="preserve">ס"ח </w:t>
      </w:r>
      <w:proofErr w:type="spellStart"/>
      <w:r w:rsidRPr="00A51964">
        <w:rPr>
          <w:rFonts w:hint="cs"/>
          <w:sz w:val="20"/>
          <w:szCs w:val="20"/>
          <w:rtl/>
        </w:rPr>
        <w:t>התשנ"א</w:t>
      </w:r>
      <w:proofErr w:type="spellEnd"/>
      <w:r w:rsidRPr="00A51964">
        <w:rPr>
          <w:rFonts w:hint="cs"/>
          <w:sz w:val="20"/>
          <w:szCs w:val="20"/>
          <w:rtl/>
        </w:rPr>
        <w:t xml:space="preserve">, עמ' 112; </w:t>
      </w:r>
      <w:proofErr w:type="spellStart"/>
      <w:r w:rsidRPr="00A51964">
        <w:rPr>
          <w:rFonts w:hint="cs"/>
          <w:sz w:val="20"/>
          <w:szCs w:val="20"/>
          <w:rtl/>
        </w:rPr>
        <w:t>התשע"</w:t>
      </w:r>
      <w:r>
        <w:rPr>
          <w:rFonts w:hint="cs"/>
          <w:sz w:val="20"/>
          <w:szCs w:val="20"/>
          <w:rtl/>
        </w:rPr>
        <w:t>ז</w:t>
      </w:r>
      <w:proofErr w:type="spellEnd"/>
      <w:r>
        <w:rPr>
          <w:rFonts w:hint="cs"/>
          <w:sz w:val="20"/>
          <w:szCs w:val="20"/>
          <w:rtl/>
        </w:rPr>
        <w:t xml:space="preserve"> עמ' 1011.</w:t>
      </w:r>
    </w:p>
  </w:footnote>
  <w:footnote w:id="2">
    <w:p w:rsidR="002C3F06" w:rsidRDefault="002C3F06" w:rsidP="00D50050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533374">
        <w:rPr>
          <w:rFonts w:hint="eastAsia"/>
          <w:sz w:val="20"/>
          <w:szCs w:val="20"/>
          <w:rtl/>
        </w:rPr>
        <w:t>ס</w:t>
      </w:r>
      <w:r w:rsidRPr="00533374">
        <w:rPr>
          <w:sz w:val="20"/>
          <w:szCs w:val="20"/>
          <w:rtl/>
        </w:rPr>
        <w:t xml:space="preserve">"ח </w:t>
      </w:r>
      <w:proofErr w:type="spellStart"/>
      <w:r>
        <w:rPr>
          <w:rFonts w:hint="cs"/>
          <w:sz w:val="20"/>
          <w:szCs w:val="20"/>
          <w:rtl/>
        </w:rPr>
        <w:t>ה</w:t>
      </w:r>
      <w:r w:rsidRPr="00533374">
        <w:rPr>
          <w:rFonts w:hint="eastAsia"/>
          <w:sz w:val="20"/>
          <w:szCs w:val="20"/>
          <w:rtl/>
        </w:rPr>
        <w:t>תשל</w:t>
      </w:r>
      <w:r w:rsidRPr="00533374">
        <w:rPr>
          <w:sz w:val="20"/>
          <w:szCs w:val="20"/>
          <w:rtl/>
        </w:rPr>
        <w:t>"</w:t>
      </w:r>
      <w:r>
        <w:rPr>
          <w:rFonts w:hint="cs"/>
          <w:sz w:val="20"/>
          <w:szCs w:val="20"/>
          <w:rtl/>
        </w:rPr>
        <w:t>ז</w:t>
      </w:r>
      <w:proofErr w:type="spellEnd"/>
      <w:r w:rsidRPr="00533374">
        <w:rPr>
          <w:sz w:val="20"/>
          <w:szCs w:val="20"/>
          <w:rtl/>
        </w:rPr>
        <w:t xml:space="preserve">, </w:t>
      </w:r>
      <w:r w:rsidRPr="00533374">
        <w:rPr>
          <w:rFonts w:hint="eastAsia"/>
          <w:sz w:val="20"/>
          <w:szCs w:val="20"/>
          <w:rtl/>
        </w:rPr>
        <w:t>עמ</w:t>
      </w:r>
      <w:r w:rsidRPr="00533374">
        <w:rPr>
          <w:sz w:val="20"/>
          <w:szCs w:val="20"/>
          <w:rtl/>
        </w:rPr>
        <w:t xml:space="preserve">' 226; </w:t>
      </w:r>
      <w:proofErr w:type="spellStart"/>
      <w:r>
        <w:rPr>
          <w:rFonts w:hint="cs"/>
          <w:sz w:val="20"/>
          <w:szCs w:val="20"/>
          <w:rtl/>
        </w:rPr>
        <w:t>ה</w:t>
      </w:r>
      <w:r w:rsidRPr="00533374">
        <w:rPr>
          <w:sz w:val="20"/>
          <w:szCs w:val="20"/>
          <w:rtl/>
        </w:rPr>
        <w:t>תשע"ז</w:t>
      </w:r>
      <w:proofErr w:type="spellEnd"/>
      <w:r w:rsidRPr="00533374">
        <w:rPr>
          <w:sz w:val="20"/>
          <w:szCs w:val="20"/>
          <w:rtl/>
        </w:rPr>
        <w:t>, עמ' 458.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6A46EE3"/>
    <w:multiLevelType w:val="hybridMultilevel"/>
    <w:tmpl w:val="781C52E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F75BB3"/>
    <w:multiLevelType w:val="hybridMultilevel"/>
    <w:tmpl w:val="471ECFCC"/>
    <w:lvl w:ilvl="0" w:tplc="15EA22D8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74E0"/>
    <w:multiLevelType w:val="hybridMultilevel"/>
    <w:tmpl w:val="0764D244"/>
    <w:lvl w:ilvl="0" w:tplc="134A5750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45CCF"/>
    <w:multiLevelType w:val="hybridMultilevel"/>
    <w:tmpl w:val="2DA81376"/>
    <w:lvl w:ilvl="0" w:tplc="D3D4E8B2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F5274"/>
    <w:multiLevelType w:val="hybridMultilevel"/>
    <w:tmpl w:val="6F569B54"/>
    <w:lvl w:ilvl="0" w:tplc="D3D4E8B2">
      <w:start w:val="1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30C19"/>
    <w:multiLevelType w:val="hybridMultilevel"/>
    <w:tmpl w:val="AC0A8160"/>
    <w:lvl w:ilvl="0" w:tplc="3C4A5D24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B2804"/>
    <w:multiLevelType w:val="hybridMultilevel"/>
    <w:tmpl w:val="A4AE4422"/>
    <w:lvl w:ilvl="0" w:tplc="9048AD50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7729A"/>
    <w:multiLevelType w:val="hybridMultilevel"/>
    <w:tmpl w:val="76E47596"/>
    <w:lvl w:ilvl="0" w:tplc="4BD8152A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675E1"/>
    <w:multiLevelType w:val="hybridMultilevel"/>
    <w:tmpl w:val="47F853A4"/>
    <w:lvl w:ilvl="0" w:tplc="D3D4E8B2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C282C"/>
    <w:multiLevelType w:val="hybridMultilevel"/>
    <w:tmpl w:val="CC3CB93E"/>
    <w:lvl w:ilvl="0" w:tplc="8EB089EA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925B4"/>
    <w:multiLevelType w:val="hybridMultilevel"/>
    <w:tmpl w:val="6C08CDAC"/>
    <w:lvl w:ilvl="0" w:tplc="0B7AB74C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97AC9"/>
    <w:multiLevelType w:val="hybridMultilevel"/>
    <w:tmpl w:val="A82C0ABE"/>
    <w:lvl w:ilvl="0" w:tplc="6F3E08B2">
      <w:start w:val="1"/>
      <w:numFmt w:val="hebrew1"/>
      <w:lvlText w:val="%1."/>
      <w:lvlJc w:val="left"/>
      <w:pPr>
        <w:ind w:left="990" w:hanging="63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C56B9"/>
    <w:multiLevelType w:val="hybridMultilevel"/>
    <w:tmpl w:val="22A8E69A"/>
    <w:lvl w:ilvl="0" w:tplc="58A2C2A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93C83"/>
    <w:multiLevelType w:val="hybridMultilevel"/>
    <w:tmpl w:val="CCC67A8E"/>
    <w:lvl w:ilvl="0" w:tplc="3698EA9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81950"/>
    <w:multiLevelType w:val="hybridMultilevel"/>
    <w:tmpl w:val="11ECE218"/>
    <w:lvl w:ilvl="0" w:tplc="9732FA18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745E5"/>
    <w:multiLevelType w:val="hybridMultilevel"/>
    <w:tmpl w:val="46EC5E7C"/>
    <w:lvl w:ilvl="0" w:tplc="13283DA2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C36F9"/>
    <w:multiLevelType w:val="hybridMultilevel"/>
    <w:tmpl w:val="80E0A7BA"/>
    <w:lvl w:ilvl="0" w:tplc="E78C6A04">
      <w:start w:val="1"/>
      <w:numFmt w:val="hebrew1"/>
      <w:lvlText w:val="(%1)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9" w15:restartNumberingAfterBreak="0">
    <w:nsid w:val="6E2C533C"/>
    <w:multiLevelType w:val="hybridMultilevel"/>
    <w:tmpl w:val="BC7089A4"/>
    <w:lvl w:ilvl="0" w:tplc="BBC4EE2E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959DD"/>
    <w:multiLevelType w:val="hybridMultilevel"/>
    <w:tmpl w:val="86F4E432"/>
    <w:lvl w:ilvl="0" w:tplc="C04A553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704CA"/>
    <w:multiLevelType w:val="hybridMultilevel"/>
    <w:tmpl w:val="BFB2A558"/>
    <w:lvl w:ilvl="0" w:tplc="A468B73A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F333F"/>
    <w:multiLevelType w:val="hybridMultilevel"/>
    <w:tmpl w:val="580C57AE"/>
    <w:lvl w:ilvl="0" w:tplc="AB123BEA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00253"/>
    <w:multiLevelType w:val="hybridMultilevel"/>
    <w:tmpl w:val="D1E6DEFA"/>
    <w:lvl w:ilvl="0" w:tplc="AB185A7E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0"/>
  </w:num>
  <w:num w:numId="3">
    <w:abstractNumId w:val="5"/>
  </w:num>
  <w:num w:numId="4">
    <w:abstractNumId w:val="25"/>
  </w:num>
  <w:num w:numId="5">
    <w:abstractNumId w:val="19"/>
  </w:num>
  <w:num w:numId="6">
    <w:abstractNumId w:val="7"/>
  </w:num>
  <w:num w:numId="7">
    <w:abstractNumId w:val="23"/>
  </w:num>
  <w:num w:numId="8">
    <w:abstractNumId w:val="16"/>
  </w:num>
  <w:num w:numId="9">
    <w:abstractNumId w:val="12"/>
  </w:num>
  <w:num w:numId="10">
    <w:abstractNumId w:val="21"/>
  </w:num>
  <w:num w:numId="11">
    <w:abstractNumId w:val="9"/>
  </w:num>
  <w:num w:numId="12">
    <w:abstractNumId w:val="2"/>
  </w:num>
  <w:num w:numId="13">
    <w:abstractNumId w:val="18"/>
  </w:num>
  <w:num w:numId="14">
    <w:abstractNumId w:val="8"/>
  </w:num>
  <w:num w:numId="15">
    <w:abstractNumId w:val="17"/>
  </w:num>
  <w:num w:numId="16">
    <w:abstractNumId w:val="10"/>
  </w:num>
  <w:num w:numId="17">
    <w:abstractNumId w:val="11"/>
  </w:num>
  <w:num w:numId="18">
    <w:abstractNumId w:val="22"/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4"/>
  </w:num>
  <w:num w:numId="23">
    <w:abstractNumId w:val="20"/>
  </w:num>
  <w:num w:numId="24">
    <w:abstractNumId w:val="13"/>
  </w:num>
  <w:num w:numId="25">
    <w:abstractNumId w:val="14"/>
  </w:num>
  <w:num w:numId="26">
    <w:abstractNumId w:val="6"/>
  </w:num>
  <w:num w:numId="27">
    <w:abstractNumId w:val="1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E6"/>
    <w:rsid w:val="00002D76"/>
    <w:rsid w:val="00006DBE"/>
    <w:rsid w:val="00007D29"/>
    <w:rsid w:val="000101D9"/>
    <w:rsid w:val="00013939"/>
    <w:rsid w:val="00013A38"/>
    <w:rsid w:val="00013D54"/>
    <w:rsid w:val="00017CE7"/>
    <w:rsid w:val="0003525C"/>
    <w:rsid w:val="00035A3C"/>
    <w:rsid w:val="00035EE4"/>
    <w:rsid w:val="000364A2"/>
    <w:rsid w:val="00055234"/>
    <w:rsid w:val="00057EE3"/>
    <w:rsid w:val="000641EA"/>
    <w:rsid w:val="0006474E"/>
    <w:rsid w:val="00067A85"/>
    <w:rsid w:val="000702B2"/>
    <w:rsid w:val="00071FE8"/>
    <w:rsid w:val="000727E6"/>
    <w:rsid w:val="00074B33"/>
    <w:rsid w:val="00074F78"/>
    <w:rsid w:val="00075A2F"/>
    <w:rsid w:val="00077672"/>
    <w:rsid w:val="00084B24"/>
    <w:rsid w:val="00095153"/>
    <w:rsid w:val="00096D4D"/>
    <w:rsid w:val="00097FB4"/>
    <w:rsid w:val="000A1D26"/>
    <w:rsid w:val="000A2425"/>
    <w:rsid w:val="000B3E23"/>
    <w:rsid w:val="000B45E2"/>
    <w:rsid w:val="000C3998"/>
    <w:rsid w:val="000C53B0"/>
    <w:rsid w:val="000C6132"/>
    <w:rsid w:val="000C673E"/>
    <w:rsid w:val="000D126B"/>
    <w:rsid w:val="000E2817"/>
    <w:rsid w:val="000F2175"/>
    <w:rsid w:val="000F38C8"/>
    <w:rsid w:val="000F50CB"/>
    <w:rsid w:val="000F5B6E"/>
    <w:rsid w:val="00103032"/>
    <w:rsid w:val="001033D5"/>
    <w:rsid w:val="00106CE5"/>
    <w:rsid w:val="00113916"/>
    <w:rsid w:val="00123EEC"/>
    <w:rsid w:val="0013092A"/>
    <w:rsid w:val="001446A3"/>
    <w:rsid w:val="00156343"/>
    <w:rsid w:val="00165179"/>
    <w:rsid w:val="00170B49"/>
    <w:rsid w:val="001774B5"/>
    <w:rsid w:val="00180CAA"/>
    <w:rsid w:val="00181473"/>
    <w:rsid w:val="00185F7B"/>
    <w:rsid w:val="00194EC6"/>
    <w:rsid w:val="00194FD3"/>
    <w:rsid w:val="00197826"/>
    <w:rsid w:val="001A03F4"/>
    <w:rsid w:val="001A0D74"/>
    <w:rsid w:val="001A327A"/>
    <w:rsid w:val="001A57F7"/>
    <w:rsid w:val="001A7D46"/>
    <w:rsid w:val="001A7E2C"/>
    <w:rsid w:val="001B3148"/>
    <w:rsid w:val="001B6DA6"/>
    <w:rsid w:val="001B7CEA"/>
    <w:rsid w:val="001D469D"/>
    <w:rsid w:val="001D75EA"/>
    <w:rsid w:val="001F185A"/>
    <w:rsid w:val="001F1871"/>
    <w:rsid w:val="001F29DA"/>
    <w:rsid w:val="001F6DEB"/>
    <w:rsid w:val="002004AC"/>
    <w:rsid w:val="00202CED"/>
    <w:rsid w:val="00205698"/>
    <w:rsid w:val="002104AD"/>
    <w:rsid w:val="002106FE"/>
    <w:rsid w:val="002130D7"/>
    <w:rsid w:val="00227A4B"/>
    <w:rsid w:val="00237535"/>
    <w:rsid w:val="00237C5E"/>
    <w:rsid w:val="00240AA6"/>
    <w:rsid w:val="00243681"/>
    <w:rsid w:val="00243FA0"/>
    <w:rsid w:val="0024554F"/>
    <w:rsid w:val="00245636"/>
    <w:rsid w:val="00250112"/>
    <w:rsid w:val="00256E8A"/>
    <w:rsid w:val="00256F2E"/>
    <w:rsid w:val="00261104"/>
    <w:rsid w:val="00266E5D"/>
    <w:rsid w:val="002677FD"/>
    <w:rsid w:val="0028413F"/>
    <w:rsid w:val="00287150"/>
    <w:rsid w:val="00295D61"/>
    <w:rsid w:val="002A5CB2"/>
    <w:rsid w:val="002A7133"/>
    <w:rsid w:val="002B521F"/>
    <w:rsid w:val="002C1C99"/>
    <w:rsid w:val="002C1D37"/>
    <w:rsid w:val="002C2705"/>
    <w:rsid w:val="002C3F06"/>
    <w:rsid w:val="002C437F"/>
    <w:rsid w:val="002C6C61"/>
    <w:rsid w:val="002D1EA2"/>
    <w:rsid w:val="002D3205"/>
    <w:rsid w:val="002D3C7D"/>
    <w:rsid w:val="002D4EB4"/>
    <w:rsid w:val="002D5FA1"/>
    <w:rsid w:val="002E1C1A"/>
    <w:rsid w:val="002E1FCC"/>
    <w:rsid w:val="002E404D"/>
    <w:rsid w:val="002F492E"/>
    <w:rsid w:val="002F7760"/>
    <w:rsid w:val="00302194"/>
    <w:rsid w:val="00307F2E"/>
    <w:rsid w:val="003209B2"/>
    <w:rsid w:val="0032468A"/>
    <w:rsid w:val="003346DC"/>
    <w:rsid w:val="0035461F"/>
    <w:rsid w:val="00366666"/>
    <w:rsid w:val="00372D3E"/>
    <w:rsid w:val="00373819"/>
    <w:rsid w:val="00380BC9"/>
    <w:rsid w:val="00381DD4"/>
    <w:rsid w:val="00382079"/>
    <w:rsid w:val="00385FA7"/>
    <w:rsid w:val="0039147A"/>
    <w:rsid w:val="00394996"/>
    <w:rsid w:val="003973C3"/>
    <w:rsid w:val="003A34AB"/>
    <w:rsid w:val="003A3ED4"/>
    <w:rsid w:val="003A49B3"/>
    <w:rsid w:val="003A4E29"/>
    <w:rsid w:val="003A7DBB"/>
    <w:rsid w:val="003B7D20"/>
    <w:rsid w:val="003C096B"/>
    <w:rsid w:val="003C167E"/>
    <w:rsid w:val="003C41AF"/>
    <w:rsid w:val="003D2D6D"/>
    <w:rsid w:val="003D40C4"/>
    <w:rsid w:val="003E1D7F"/>
    <w:rsid w:val="003E3F6A"/>
    <w:rsid w:val="003F0852"/>
    <w:rsid w:val="003F1398"/>
    <w:rsid w:val="003F699D"/>
    <w:rsid w:val="004154A5"/>
    <w:rsid w:val="00420BAC"/>
    <w:rsid w:val="004230F0"/>
    <w:rsid w:val="00424057"/>
    <w:rsid w:val="004272AE"/>
    <w:rsid w:val="0043038F"/>
    <w:rsid w:val="00433B3F"/>
    <w:rsid w:val="004410B3"/>
    <w:rsid w:val="00442F75"/>
    <w:rsid w:val="00447308"/>
    <w:rsid w:val="0046348D"/>
    <w:rsid w:val="0046783B"/>
    <w:rsid w:val="004706FC"/>
    <w:rsid w:val="0047272A"/>
    <w:rsid w:val="00474F29"/>
    <w:rsid w:val="00476DD6"/>
    <w:rsid w:val="004849B6"/>
    <w:rsid w:val="0049069B"/>
    <w:rsid w:val="004936E7"/>
    <w:rsid w:val="00496DAB"/>
    <w:rsid w:val="004A12DB"/>
    <w:rsid w:val="004A4855"/>
    <w:rsid w:val="004A62EB"/>
    <w:rsid w:val="004A751C"/>
    <w:rsid w:val="004B038B"/>
    <w:rsid w:val="004B149A"/>
    <w:rsid w:val="004B31D8"/>
    <w:rsid w:val="004C1133"/>
    <w:rsid w:val="004C2D1B"/>
    <w:rsid w:val="004D30AE"/>
    <w:rsid w:val="004D57A1"/>
    <w:rsid w:val="004E2459"/>
    <w:rsid w:val="004E56CF"/>
    <w:rsid w:val="004F584D"/>
    <w:rsid w:val="00500982"/>
    <w:rsid w:val="0050351A"/>
    <w:rsid w:val="0050773C"/>
    <w:rsid w:val="00514656"/>
    <w:rsid w:val="005258BA"/>
    <w:rsid w:val="00527AA3"/>
    <w:rsid w:val="005313E7"/>
    <w:rsid w:val="00532C2C"/>
    <w:rsid w:val="00533374"/>
    <w:rsid w:val="005334BE"/>
    <w:rsid w:val="00534233"/>
    <w:rsid w:val="00540F49"/>
    <w:rsid w:val="005502AA"/>
    <w:rsid w:val="0056557B"/>
    <w:rsid w:val="0056764A"/>
    <w:rsid w:val="00572CE3"/>
    <w:rsid w:val="005819CA"/>
    <w:rsid w:val="00581A4A"/>
    <w:rsid w:val="005841E7"/>
    <w:rsid w:val="0059328D"/>
    <w:rsid w:val="00593BAA"/>
    <w:rsid w:val="005A14CE"/>
    <w:rsid w:val="005A1634"/>
    <w:rsid w:val="005A2530"/>
    <w:rsid w:val="005A6322"/>
    <w:rsid w:val="005B73B6"/>
    <w:rsid w:val="005C4179"/>
    <w:rsid w:val="005C468D"/>
    <w:rsid w:val="005C5622"/>
    <w:rsid w:val="005C786A"/>
    <w:rsid w:val="005D0CE4"/>
    <w:rsid w:val="005D1C57"/>
    <w:rsid w:val="005D2D7A"/>
    <w:rsid w:val="005D2EAE"/>
    <w:rsid w:val="005D4B60"/>
    <w:rsid w:val="005D5A2C"/>
    <w:rsid w:val="005D5A3F"/>
    <w:rsid w:val="005D7192"/>
    <w:rsid w:val="005E52E8"/>
    <w:rsid w:val="005E7809"/>
    <w:rsid w:val="005F6EA4"/>
    <w:rsid w:val="005F7476"/>
    <w:rsid w:val="005F7F24"/>
    <w:rsid w:val="00601124"/>
    <w:rsid w:val="00602B69"/>
    <w:rsid w:val="006059DC"/>
    <w:rsid w:val="00615244"/>
    <w:rsid w:val="00616BA6"/>
    <w:rsid w:val="00616EE0"/>
    <w:rsid w:val="00620208"/>
    <w:rsid w:val="00621592"/>
    <w:rsid w:val="00621648"/>
    <w:rsid w:val="0062350C"/>
    <w:rsid w:val="0062798A"/>
    <w:rsid w:val="0063489F"/>
    <w:rsid w:val="00636E12"/>
    <w:rsid w:val="0064075B"/>
    <w:rsid w:val="00640974"/>
    <w:rsid w:val="00655357"/>
    <w:rsid w:val="00656967"/>
    <w:rsid w:val="006571F5"/>
    <w:rsid w:val="00664C52"/>
    <w:rsid w:val="006665FF"/>
    <w:rsid w:val="00667181"/>
    <w:rsid w:val="00671E00"/>
    <w:rsid w:val="00677479"/>
    <w:rsid w:val="00677722"/>
    <w:rsid w:val="00677F4D"/>
    <w:rsid w:val="00684132"/>
    <w:rsid w:val="00685BC5"/>
    <w:rsid w:val="006864B6"/>
    <w:rsid w:val="00696BA3"/>
    <w:rsid w:val="00697A81"/>
    <w:rsid w:val="006A29D0"/>
    <w:rsid w:val="006A3D1D"/>
    <w:rsid w:val="006B1B9E"/>
    <w:rsid w:val="006B66E3"/>
    <w:rsid w:val="006B7B16"/>
    <w:rsid w:val="006C7500"/>
    <w:rsid w:val="006D360F"/>
    <w:rsid w:val="006E1E6A"/>
    <w:rsid w:val="006E59D7"/>
    <w:rsid w:val="006E5B85"/>
    <w:rsid w:val="006E7EF3"/>
    <w:rsid w:val="006F5B9C"/>
    <w:rsid w:val="007030C2"/>
    <w:rsid w:val="007104D9"/>
    <w:rsid w:val="0071444A"/>
    <w:rsid w:val="007153CB"/>
    <w:rsid w:val="00715C7D"/>
    <w:rsid w:val="00716BE8"/>
    <w:rsid w:val="0071792D"/>
    <w:rsid w:val="00731D7D"/>
    <w:rsid w:val="00735C5F"/>
    <w:rsid w:val="00740D23"/>
    <w:rsid w:val="0074135E"/>
    <w:rsid w:val="007430A9"/>
    <w:rsid w:val="00743A0A"/>
    <w:rsid w:val="00744659"/>
    <w:rsid w:val="0075549D"/>
    <w:rsid w:val="00755967"/>
    <w:rsid w:val="00763F09"/>
    <w:rsid w:val="007745BF"/>
    <w:rsid w:val="00776CA3"/>
    <w:rsid w:val="007807C7"/>
    <w:rsid w:val="007847E9"/>
    <w:rsid w:val="00785AB1"/>
    <w:rsid w:val="007911EC"/>
    <w:rsid w:val="00791B3F"/>
    <w:rsid w:val="007A258F"/>
    <w:rsid w:val="007B03B7"/>
    <w:rsid w:val="007B6928"/>
    <w:rsid w:val="007B6DCE"/>
    <w:rsid w:val="007C59A4"/>
    <w:rsid w:val="007D4363"/>
    <w:rsid w:val="007E2F06"/>
    <w:rsid w:val="007E4C96"/>
    <w:rsid w:val="00805DE3"/>
    <w:rsid w:val="00825956"/>
    <w:rsid w:val="00827DD6"/>
    <w:rsid w:val="00837CF2"/>
    <w:rsid w:val="008404FF"/>
    <w:rsid w:val="00841E1A"/>
    <w:rsid w:val="00842558"/>
    <w:rsid w:val="008441F9"/>
    <w:rsid w:val="0084428E"/>
    <w:rsid w:val="00846BC5"/>
    <w:rsid w:val="00846DAF"/>
    <w:rsid w:val="00847747"/>
    <w:rsid w:val="00847A64"/>
    <w:rsid w:val="00850D62"/>
    <w:rsid w:val="00857F17"/>
    <w:rsid w:val="00865211"/>
    <w:rsid w:val="008756E6"/>
    <w:rsid w:val="00875856"/>
    <w:rsid w:val="008774DD"/>
    <w:rsid w:val="008850E1"/>
    <w:rsid w:val="008A109A"/>
    <w:rsid w:val="008A42C6"/>
    <w:rsid w:val="008A4C41"/>
    <w:rsid w:val="008A655B"/>
    <w:rsid w:val="008A78AB"/>
    <w:rsid w:val="008B647D"/>
    <w:rsid w:val="008C058F"/>
    <w:rsid w:val="008C414A"/>
    <w:rsid w:val="008C4FBE"/>
    <w:rsid w:val="008C64B6"/>
    <w:rsid w:val="008C755D"/>
    <w:rsid w:val="008D1175"/>
    <w:rsid w:val="008D5A02"/>
    <w:rsid w:val="008D67C7"/>
    <w:rsid w:val="008D6A8B"/>
    <w:rsid w:val="008D6F0B"/>
    <w:rsid w:val="008E4C87"/>
    <w:rsid w:val="008E633F"/>
    <w:rsid w:val="008F384E"/>
    <w:rsid w:val="008F5403"/>
    <w:rsid w:val="008F5C16"/>
    <w:rsid w:val="008F65A7"/>
    <w:rsid w:val="008F6662"/>
    <w:rsid w:val="00903398"/>
    <w:rsid w:val="00905E76"/>
    <w:rsid w:val="00913644"/>
    <w:rsid w:val="00913683"/>
    <w:rsid w:val="00922536"/>
    <w:rsid w:val="009235BF"/>
    <w:rsid w:val="0092367A"/>
    <w:rsid w:val="009238D0"/>
    <w:rsid w:val="00923AE1"/>
    <w:rsid w:val="00925E0B"/>
    <w:rsid w:val="00926B1B"/>
    <w:rsid w:val="0092713A"/>
    <w:rsid w:val="009309C4"/>
    <w:rsid w:val="009332A1"/>
    <w:rsid w:val="00933E24"/>
    <w:rsid w:val="0094060A"/>
    <w:rsid w:val="0094187E"/>
    <w:rsid w:val="00950524"/>
    <w:rsid w:val="00953569"/>
    <w:rsid w:val="00964043"/>
    <w:rsid w:val="009643BD"/>
    <w:rsid w:val="009668BA"/>
    <w:rsid w:val="00970F06"/>
    <w:rsid w:val="0097134C"/>
    <w:rsid w:val="00972D27"/>
    <w:rsid w:val="00982441"/>
    <w:rsid w:val="0098283A"/>
    <w:rsid w:val="009839DE"/>
    <w:rsid w:val="00985D79"/>
    <w:rsid w:val="00996B91"/>
    <w:rsid w:val="009B0910"/>
    <w:rsid w:val="009B365D"/>
    <w:rsid w:val="009B4BF4"/>
    <w:rsid w:val="009C20D3"/>
    <w:rsid w:val="009C2517"/>
    <w:rsid w:val="009C5A10"/>
    <w:rsid w:val="009D120B"/>
    <w:rsid w:val="009D19B4"/>
    <w:rsid w:val="009D4478"/>
    <w:rsid w:val="009D4962"/>
    <w:rsid w:val="009D4D0C"/>
    <w:rsid w:val="009D4EEE"/>
    <w:rsid w:val="009D6A30"/>
    <w:rsid w:val="009E05A7"/>
    <w:rsid w:val="009F09FE"/>
    <w:rsid w:val="009F4E9F"/>
    <w:rsid w:val="00A004A8"/>
    <w:rsid w:val="00A03BC6"/>
    <w:rsid w:val="00A05BA7"/>
    <w:rsid w:val="00A05DA3"/>
    <w:rsid w:val="00A1144A"/>
    <w:rsid w:val="00A14276"/>
    <w:rsid w:val="00A22DF6"/>
    <w:rsid w:val="00A27188"/>
    <w:rsid w:val="00A30A19"/>
    <w:rsid w:val="00A33C95"/>
    <w:rsid w:val="00A35D6D"/>
    <w:rsid w:val="00A40FF9"/>
    <w:rsid w:val="00A44279"/>
    <w:rsid w:val="00A51964"/>
    <w:rsid w:val="00A541FB"/>
    <w:rsid w:val="00A561A8"/>
    <w:rsid w:val="00A637E8"/>
    <w:rsid w:val="00A6630E"/>
    <w:rsid w:val="00A66E0D"/>
    <w:rsid w:val="00A676F3"/>
    <w:rsid w:val="00A76B59"/>
    <w:rsid w:val="00A853B3"/>
    <w:rsid w:val="00A87614"/>
    <w:rsid w:val="00A9049A"/>
    <w:rsid w:val="00A95890"/>
    <w:rsid w:val="00AA0262"/>
    <w:rsid w:val="00AA0D23"/>
    <w:rsid w:val="00AA25E3"/>
    <w:rsid w:val="00AA7007"/>
    <w:rsid w:val="00AA7CD2"/>
    <w:rsid w:val="00AB6B29"/>
    <w:rsid w:val="00AC118A"/>
    <w:rsid w:val="00AF0862"/>
    <w:rsid w:val="00AF4205"/>
    <w:rsid w:val="00AF5A21"/>
    <w:rsid w:val="00AF5FE6"/>
    <w:rsid w:val="00B04191"/>
    <w:rsid w:val="00B13811"/>
    <w:rsid w:val="00B174EF"/>
    <w:rsid w:val="00B267AA"/>
    <w:rsid w:val="00B31AE1"/>
    <w:rsid w:val="00B34C25"/>
    <w:rsid w:val="00B3655E"/>
    <w:rsid w:val="00B36BA4"/>
    <w:rsid w:val="00B37E9B"/>
    <w:rsid w:val="00B43F82"/>
    <w:rsid w:val="00B543A1"/>
    <w:rsid w:val="00B57217"/>
    <w:rsid w:val="00B57885"/>
    <w:rsid w:val="00B57BD6"/>
    <w:rsid w:val="00B61821"/>
    <w:rsid w:val="00B86120"/>
    <w:rsid w:val="00B86A16"/>
    <w:rsid w:val="00B9619D"/>
    <w:rsid w:val="00BB0782"/>
    <w:rsid w:val="00BB2378"/>
    <w:rsid w:val="00BB3A34"/>
    <w:rsid w:val="00BB48FE"/>
    <w:rsid w:val="00BB756F"/>
    <w:rsid w:val="00BC056C"/>
    <w:rsid w:val="00BD42D7"/>
    <w:rsid w:val="00BE0E34"/>
    <w:rsid w:val="00BE3DE1"/>
    <w:rsid w:val="00C06E73"/>
    <w:rsid w:val="00C119FC"/>
    <w:rsid w:val="00C15BBE"/>
    <w:rsid w:val="00C23096"/>
    <w:rsid w:val="00C33EEC"/>
    <w:rsid w:val="00C34407"/>
    <w:rsid w:val="00C34BFA"/>
    <w:rsid w:val="00C353F3"/>
    <w:rsid w:val="00C35BCA"/>
    <w:rsid w:val="00C4320D"/>
    <w:rsid w:val="00C46006"/>
    <w:rsid w:val="00C5039A"/>
    <w:rsid w:val="00C62BFF"/>
    <w:rsid w:val="00C73263"/>
    <w:rsid w:val="00C74A56"/>
    <w:rsid w:val="00C75576"/>
    <w:rsid w:val="00C75F91"/>
    <w:rsid w:val="00C761F1"/>
    <w:rsid w:val="00C77713"/>
    <w:rsid w:val="00C80223"/>
    <w:rsid w:val="00C810B2"/>
    <w:rsid w:val="00C81489"/>
    <w:rsid w:val="00C90901"/>
    <w:rsid w:val="00C9280A"/>
    <w:rsid w:val="00C94EB5"/>
    <w:rsid w:val="00CA5DD5"/>
    <w:rsid w:val="00CA611A"/>
    <w:rsid w:val="00CA7907"/>
    <w:rsid w:val="00CC3D7B"/>
    <w:rsid w:val="00CC738D"/>
    <w:rsid w:val="00CD060F"/>
    <w:rsid w:val="00CD1CC7"/>
    <w:rsid w:val="00CD5CC9"/>
    <w:rsid w:val="00CD7049"/>
    <w:rsid w:val="00CE0674"/>
    <w:rsid w:val="00CF48AA"/>
    <w:rsid w:val="00CF59BA"/>
    <w:rsid w:val="00CF6F2F"/>
    <w:rsid w:val="00D0138F"/>
    <w:rsid w:val="00D04636"/>
    <w:rsid w:val="00D15ABE"/>
    <w:rsid w:val="00D22EC4"/>
    <w:rsid w:val="00D3001D"/>
    <w:rsid w:val="00D347A8"/>
    <w:rsid w:val="00D41DF5"/>
    <w:rsid w:val="00D42DD3"/>
    <w:rsid w:val="00D4414E"/>
    <w:rsid w:val="00D50050"/>
    <w:rsid w:val="00D504EA"/>
    <w:rsid w:val="00D514DC"/>
    <w:rsid w:val="00D545AF"/>
    <w:rsid w:val="00D657A6"/>
    <w:rsid w:val="00D665EC"/>
    <w:rsid w:val="00D72A35"/>
    <w:rsid w:val="00D74C0A"/>
    <w:rsid w:val="00D77715"/>
    <w:rsid w:val="00D94067"/>
    <w:rsid w:val="00DA7E44"/>
    <w:rsid w:val="00DB16FA"/>
    <w:rsid w:val="00DC1921"/>
    <w:rsid w:val="00DD013C"/>
    <w:rsid w:val="00DD1634"/>
    <w:rsid w:val="00DE0B2C"/>
    <w:rsid w:val="00DE0BF1"/>
    <w:rsid w:val="00DE7BBE"/>
    <w:rsid w:val="00DF1431"/>
    <w:rsid w:val="00DF2366"/>
    <w:rsid w:val="00DF7FF3"/>
    <w:rsid w:val="00E057B1"/>
    <w:rsid w:val="00E24C95"/>
    <w:rsid w:val="00E25B87"/>
    <w:rsid w:val="00E26314"/>
    <w:rsid w:val="00E26336"/>
    <w:rsid w:val="00E263CF"/>
    <w:rsid w:val="00E269F9"/>
    <w:rsid w:val="00E31C47"/>
    <w:rsid w:val="00E329D4"/>
    <w:rsid w:val="00E33EA4"/>
    <w:rsid w:val="00E35754"/>
    <w:rsid w:val="00E402BB"/>
    <w:rsid w:val="00E414DB"/>
    <w:rsid w:val="00E45174"/>
    <w:rsid w:val="00E45EBA"/>
    <w:rsid w:val="00E544C7"/>
    <w:rsid w:val="00E578D2"/>
    <w:rsid w:val="00E6055A"/>
    <w:rsid w:val="00E617D3"/>
    <w:rsid w:val="00E6184E"/>
    <w:rsid w:val="00E659B6"/>
    <w:rsid w:val="00E8061B"/>
    <w:rsid w:val="00E806EE"/>
    <w:rsid w:val="00E83B35"/>
    <w:rsid w:val="00E90AB5"/>
    <w:rsid w:val="00E9321F"/>
    <w:rsid w:val="00EA0688"/>
    <w:rsid w:val="00EA4C12"/>
    <w:rsid w:val="00EA7DC3"/>
    <w:rsid w:val="00EB3982"/>
    <w:rsid w:val="00EB3BAB"/>
    <w:rsid w:val="00EB7F09"/>
    <w:rsid w:val="00EC0C50"/>
    <w:rsid w:val="00EC1290"/>
    <w:rsid w:val="00EC302C"/>
    <w:rsid w:val="00EC3C3C"/>
    <w:rsid w:val="00EC4EAF"/>
    <w:rsid w:val="00EC70C3"/>
    <w:rsid w:val="00ED71A3"/>
    <w:rsid w:val="00EE04F1"/>
    <w:rsid w:val="00EE2463"/>
    <w:rsid w:val="00EF4F60"/>
    <w:rsid w:val="00F06ED8"/>
    <w:rsid w:val="00F1035B"/>
    <w:rsid w:val="00F115D9"/>
    <w:rsid w:val="00F14807"/>
    <w:rsid w:val="00F15EB9"/>
    <w:rsid w:val="00F2018C"/>
    <w:rsid w:val="00F20BA3"/>
    <w:rsid w:val="00F255C4"/>
    <w:rsid w:val="00F31BEA"/>
    <w:rsid w:val="00F37F31"/>
    <w:rsid w:val="00F423B8"/>
    <w:rsid w:val="00F53D4C"/>
    <w:rsid w:val="00F5441F"/>
    <w:rsid w:val="00F55B0E"/>
    <w:rsid w:val="00F5778B"/>
    <w:rsid w:val="00F64A64"/>
    <w:rsid w:val="00F66939"/>
    <w:rsid w:val="00F70D86"/>
    <w:rsid w:val="00F73A8C"/>
    <w:rsid w:val="00F73F36"/>
    <w:rsid w:val="00F7471D"/>
    <w:rsid w:val="00F83588"/>
    <w:rsid w:val="00F876B6"/>
    <w:rsid w:val="00F8787A"/>
    <w:rsid w:val="00F96F42"/>
    <w:rsid w:val="00FA07B5"/>
    <w:rsid w:val="00FA0C03"/>
    <w:rsid w:val="00FC096D"/>
    <w:rsid w:val="00FC1B12"/>
    <w:rsid w:val="00FC2D4C"/>
    <w:rsid w:val="00FC3E83"/>
    <w:rsid w:val="00FC4C45"/>
    <w:rsid w:val="00FD08CC"/>
    <w:rsid w:val="00FD2C2B"/>
    <w:rsid w:val="00FE1F6C"/>
    <w:rsid w:val="00FE379B"/>
    <w:rsid w:val="00FE7119"/>
    <w:rsid w:val="00FF1D9C"/>
    <w:rsid w:val="00FF2E6E"/>
    <w:rsid w:val="00FF366B"/>
    <w:rsid w:val="00FF51EE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D90C5-D940-4B4B-B210-1C94934F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EF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rsid w:val="00B174EF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174EF"/>
  </w:style>
  <w:style w:type="paragraph" w:customStyle="1" w:styleId="TableBlock">
    <w:name w:val="Table Block"/>
    <w:basedOn w:val="TableText"/>
    <w:rsid w:val="00B174EF"/>
    <w:pPr>
      <w:ind w:right="0"/>
      <w:jc w:val="both"/>
    </w:pPr>
  </w:style>
  <w:style w:type="paragraph" w:customStyle="1" w:styleId="TableHead">
    <w:name w:val="Table Head"/>
    <w:basedOn w:val="TableText"/>
    <w:rsid w:val="00B174EF"/>
    <w:pPr>
      <w:ind w:right="0"/>
      <w:jc w:val="center"/>
    </w:pPr>
    <w:rPr>
      <w:b/>
      <w:bCs/>
    </w:rPr>
  </w:style>
  <w:style w:type="paragraph" w:customStyle="1" w:styleId="HeadMitparsemetBaze">
    <w:name w:val="Head MitparsemetBaze"/>
    <w:basedOn w:val="a"/>
    <w:rsid w:val="00B174EF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174EF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sberWriters">
    <w:name w:val="Hesber Writers"/>
    <w:basedOn w:val="Hesber"/>
    <w:rsid w:val="00B174EF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174EF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B174EF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HeadHatzaotHok4Futer">
    <w:name w:val="Head HatzaotHok4Futer"/>
    <w:basedOn w:val="HeadHatzaotHok"/>
    <w:rsid w:val="00B174EF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semiHidden/>
    <w:rsid w:val="00B174EF"/>
    <w:pPr>
      <w:ind w:left="227" w:hanging="227"/>
    </w:pPr>
    <w:rPr>
      <w:sz w:val="14"/>
      <w:szCs w:val="22"/>
    </w:rPr>
  </w:style>
  <w:style w:type="character" w:customStyle="1" w:styleId="a4">
    <w:name w:val="טקסט הערת סיום תו"/>
    <w:basedOn w:val="a0"/>
    <w:link w:val="a3"/>
    <w:semiHidden/>
    <w:rsid w:val="008756E6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B174EF"/>
  </w:style>
  <w:style w:type="paragraph" w:customStyle="1" w:styleId="Hesber">
    <w:name w:val="Hesber"/>
    <w:basedOn w:val="a"/>
    <w:rsid w:val="00B174EF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5">
    <w:name w:val="footnote text"/>
    <w:basedOn w:val="a"/>
    <w:link w:val="a6"/>
    <w:autoRedefine/>
    <w:semiHidden/>
    <w:rsid w:val="00DF1431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6"/>
      <w:szCs w:val="16"/>
    </w:rPr>
  </w:style>
  <w:style w:type="character" w:customStyle="1" w:styleId="a6">
    <w:name w:val="טקסט הערת שוליים תו"/>
    <w:basedOn w:val="a0"/>
    <w:link w:val="a5"/>
    <w:semiHidden/>
    <w:rsid w:val="00DF1431"/>
    <w:rPr>
      <w:rFonts w:ascii="Arial" w:eastAsia="Arial Unicode MS" w:hAnsi="Arial" w:cs="David"/>
      <w:snapToGrid w:val="0"/>
      <w:color w:val="000000"/>
      <w:sz w:val="16"/>
      <w:szCs w:val="16"/>
      <w:lang w:eastAsia="ja-JP"/>
    </w:rPr>
  </w:style>
  <w:style w:type="character" w:styleId="a7">
    <w:name w:val="footnote reference"/>
    <w:aliases w:val="Footnote Reference"/>
    <w:basedOn w:val="a0"/>
    <w:semiHidden/>
    <w:rsid w:val="00B174EF"/>
    <w:rPr>
      <w:vertAlign w:val="superscript"/>
    </w:rPr>
  </w:style>
  <w:style w:type="paragraph" w:customStyle="1" w:styleId="HesberHeading">
    <w:name w:val="Hesber Heading"/>
    <w:basedOn w:val="Hesber"/>
    <w:rsid w:val="00B174EF"/>
    <w:pPr>
      <w:tabs>
        <w:tab w:val="left" w:pos="624"/>
        <w:tab w:val="left" w:pos="1247"/>
      </w:tabs>
      <w:ind w:firstLine="0"/>
    </w:pPr>
    <w:rPr>
      <w:b/>
      <w:bCs/>
    </w:rPr>
  </w:style>
  <w:style w:type="character" w:styleId="a8">
    <w:name w:val="endnote reference"/>
    <w:basedOn w:val="a0"/>
    <w:semiHidden/>
    <w:rsid w:val="00B174EF"/>
    <w:rPr>
      <w:vertAlign w:val="superscript"/>
    </w:rPr>
  </w:style>
  <w:style w:type="paragraph" w:customStyle="1" w:styleId="TableBlockOutdent">
    <w:name w:val="Table BlockOutdent"/>
    <w:basedOn w:val="TableBlock"/>
    <w:rsid w:val="00B174EF"/>
    <w:pPr>
      <w:ind w:left="624" w:hanging="624"/>
    </w:pPr>
  </w:style>
  <w:style w:type="paragraph" w:styleId="a9">
    <w:name w:val="header"/>
    <w:basedOn w:val="a"/>
    <w:link w:val="aa"/>
    <w:rsid w:val="00B174EF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8756E6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b">
    <w:name w:val="footer"/>
    <w:basedOn w:val="a"/>
    <w:link w:val="ac"/>
    <w:rsid w:val="00B174EF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rsid w:val="008756E6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d">
    <w:name w:val="page number"/>
    <w:basedOn w:val="a0"/>
    <w:rsid w:val="00B174EF"/>
  </w:style>
  <w:style w:type="paragraph" w:customStyle="1" w:styleId="Cover1-Reshumot">
    <w:name w:val="Cover 1-Reshumot"/>
    <w:basedOn w:val="a"/>
    <w:rsid w:val="00B174EF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174EF"/>
    <w:rPr>
      <w:sz w:val="36"/>
      <w:szCs w:val="52"/>
    </w:rPr>
  </w:style>
  <w:style w:type="paragraph" w:customStyle="1" w:styleId="Cover3-Haknesset">
    <w:name w:val="Cover 3-Haknesset"/>
    <w:basedOn w:val="Cover1-Reshumot"/>
    <w:rsid w:val="00B174EF"/>
    <w:rPr>
      <w:b/>
      <w:bCs/>
      <w:spacing w:val="60"/>
    </w:rPr>
  </w:style>
  <w:style w:type="paragraph" w:customStyle="1" w:styleId="Cover4-Date">
    <w:name w:val="Cover 4-Date"/>
    <w:basedOn w:val="a"/>
    <w:rsid w:val="00B174EF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B174EF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EF4F6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EF4F60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styleId="af0">
    <w:name w:val="List Paragraph"/>
    <w:basedOn w:val="a"/>
    <w:uiPriority w:val="34"/>
    <w:qFormat/>
    <w:rsid w:val="00620208"/>
    <w:pPr>
      <w:ind w:left="720"/>
      <w:contextualSpacing/>
    </w:pPr>
  </w:style>
  <w:style w:type="character" w:customStyle="1" w:styleId="default">
    <w:name w:val="default"/>
    <w:rsid w:val="006D360F"/>
    <w:rPr>
      <w:rFonts w:ascii="Times New Roman" w:hAnsi="Times New Roman" w:cs="Times New Roman"/>
      <w:sz w:val="20"/>
      <w:szCs w:val="26"/>
    </w:rPr>
  </w:style>
  <w:style w:type="character" w:styleId="af1">
    <w:name w:val="annotation reference"/>
    <w:basedOn w:val="a0"/>
    <w:uiPriority w:val="99"/>
    <w:semiHidden/>
    <w:unhideWhenUsed/>
    <w:rsid w:val="000A242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A2425"/>
    <w:pPr>
      <w:spacing w:line="240" w:lineRule="auto"/>
    </w:pPr>
    <w:rPr>
      <w:sz w:val="20"/>
      <w:szCs w:val="20"/>
    </w:rPr>
  </w:style>
  <w:style w:type="character" w:customStyle="1" w:styleId="af3">
    <w:name w:val="טקסט הערה תו"/>
    <w:basedOn w:val="a0"/>
    <w:link w:val="af2"/>
    <w:uiPriority w:val="99"/>
    <w:semiHidden/>
    <w:rsid w:val="000A2425"/>
    <w:rPr>
      <w:rFonts w:ascii="Hadasa Roso SL" w:eastAsia="MS Mincho" w:hAnsi="Hadasa Roso SL" w:cs="Hadasa Roso SL"/>
      <w:color w:val="000000"/>
      <w:spacing w:val="1"/>
      <w:sz w:val="20"/>
      <w:szCs w:val="20"/>
      <w:lang w:eastAsia="ja-JP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A2425"/>
    <w:rPr>
      <w:b/>
      <w:bCs/>
    </w:rPr>
  </w:style>
  <w:style w:type="character" w:customStyle="1" w:styleId="af5">
    <w:name w:val="נושא הערה תו"/>
    <w:basedOn w:val="af3"/>
    <w:link w:val="af4"/>
    <w:uiPriority w:val="99"/>
    <w:semiHidden/>
    <w:rsid w:val="000A2425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paragraph" w:customStyle="1" w:styleId="big-header">
    <w:name w:val="big-header"/>
    <w:basedOn w:val="a"/>
    <w:rsid w:val="007030C2"/>
    <w:pPr>
      <w:keepNext/>
      <w:keepLines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djustRightInd/>
      <w:spacing w:before="440" w:after="120" w:line="240" w:lineRule="auto"/>
      <w:ind w:left="2835" w:firstLine="0"/>
      <w:jc w:val="center"/>
      <w:textAlignment w:val="auto"/>
    </w:pPr>
    <w:rPr>
      <w:rFonts w:ascii="Times New Roman" w:eastAsia="Times New Roman" w:hAnsi="Times New Roman" w:cs="FrankRuehl"/>
      <w:noProof/>
      <w:color w:val="auto"/>
      <w:spacing w:val="0"/>
      <w:sz w:val="20"/>
      <w:szCs w:val="32"/>
      <w:lang w:eastAsia="he-IL"/>
    </w:rPr>
  </w:style>
  <w:style w:type="character" w:styleId="Hyperlink">
    <w:name w:val="Hyperlink"/>
    <w:basedOn w:val="a0"/>
    <w:uiPriority w:val="99"/>
    <w:unhideWhenUsed/>
    <w:rsid w:val="002C437F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B4BF4"/>
    <w:rPr>
      <w:color w:val="800080" w:themeColor="followedHyperlink"/>
      <w:u w:val="single"/>
    </w:rPr>
  </w:style>
  <w:style w:type="table" w:styleId="af6">
    <w:name w:val="Table Grid"/>
    <w:basedOn w:val="a1"/>
    <w:uiPriority w:val="59"/>
    <w:rsid w:val="008F66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OfDoc xmlns="42a9e6dd-d040-4a15-a66c-8ca932bc92e6">2018-02-11T22:00:00+00:00</DateOfDoc>
    <Ministry xmlns="42a9e6dd-d040-4a15-a66c-8ca932bc92e6">משרד הפנים</Minist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E1D98828D066A49931ED831DC689D40" ma:contentTypeVersion="2" ma:contentTypeDescription="צור מסמך חדש." ma:contentTypeScope="" ma:versionID="eac4c63b47221c349adf5b1e3872bc3e">
  <xsd:schema xmlns:xsd="http://www.w3.org/2001/XMLSchema" xmlns:xs="http://www.w3.org/2001/XMLSchema" xmlns:p="http://schemas.microsoft.com/office/2006/metadata/properties" xmlns:ns2="42a9e6dd-d040-4a15-a66c-8ca932bc92e6" targetNamespace="http://schemas.microsoft.com/office/2006/metadata/properties" ma:root="true" ma:fieldsID="e87dabe64fb7b36773c71b49b5bbc934" ns2:_="">
    <xsd:import namespace="42a9e6dd-d040-4a15-a66c-8ca932bc92e6"/>
    <xsd:element name="properties">
      <xsd:complexType>
        <xsd:sequence>
          <xsd:element name="documentManagement">
            <xsd:complexType>
              <xsd:all>
                <xsd:element ref="ns2:DateOfDoc" minOccurs="0"/>
                <xsd:element ref="ns2:Minist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9e6dd-d040-4a15-a66c-8ca932bc92e6" elementFormDefault="qualified">
    <xsd:import namespace="http://schemas.microsoft.com/office/2006/documentManagement/types"/>
    <xsd:import namespace="http://schemas.microsoft.com/office/infopath/2007/PartnerControls"/>
    <xsd:element name="DateOfDoc" ma:index="8" nillable="true" ma:displayName="DateOfDoc" ma:default="[today]" ma:description="תאריך המסמך למיון" ma:format="DateOnly" ma:internalName="DateOfDoc">
      <xsd:simpleType>
        <xsd:restriction base="dms:DateTime"/>
      </xsd:simpleType>
    </xsd:element>
    <xsd:element name="Ministry" ma:index="9" nillable="true" ma:displayName="Ministry" ma:default="משרד הבריאות" ma:format="Dropdown" ma:internalName="Ministry">
      <xsd:simpleType>
        <xsd:restriction base="dms:Choice">
          <xsd:enumeration value="משרד הבריאות"/>
          <xsd:enumeration value="משרד העבודה, הרווחה והשירותים החברתיים"/>
          <xsd:enumeration value="משרד התשתיות הלאומיות, האנרגיה והמים"/>
          <xsd:enumeration value="משרד הכלכלה"/>
          <xsd:enumeration value="משרד האוצר"/>
          <xsd:enumeration value="משרד הפנים"/>
          <xsd:enumeration value="משרד החינוך"/>
          <xsd:enumeration value="משרד לשירותי דת"/>
          <xsd:enumeration value="משרד המשפטים"/>
          <xsd:enumeration value="משרד הביטחון"/>
          <xsd:enumeration value="המשרד לביטחון פנים"/>
          <xsd:enumeration value="משרד התחבורה  והבטיחות בדרכים"/>
          <xsd:enumeration value="משרד ראש הממשלה"/>
          <xsd:enumeration value="משרד החקלאות ופיתוח הכפר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DD79-ED01-45A0-9CAC-57451BE28573}">
  <ds:schemaRefs>
    <ds:schemaRef ds:uri="http://schemas.microsoft.com/office/2006/metadata/properties"/>
    <ds:schemaRef ds:uri="http://schemas.microsoft.com/office/infopath/2007/PartnerControls"/>
    <ds:schemaRef ds:uri="42a9e6dd-d040-4a15-a66c-8ca932bc92e6"/>
  </ds:schemaRefs>
</ds:datastoreItem>
</file>

<file path=customXml/itemProps2.xml><?xml version="1.0" encoding="utf-8"?>
<ds:datastoreItem xmlns:ds="http://schemas.openxmlformats.org/officeDocument/2006/customXml" ds:itemID="{1D2B4610-91C2-4A11-92C4-6603B547D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52093-67B7-41DF-B7F3-DBBCD9F66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9e6dd-d040-4a15-a66c-8ca932bc9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4ADC75-D5AB-4323-9BE9-74D7A0CB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תקנות עובדים זרים (סוגי מקרים ותנאים שבהתקיימם עובד זר שהוא מסתנן זכאי לקבל את כספי הפיקדון לפני מועד עזיבתו את ישראל שלא לצורך יציאה זמנית), התשע"ח-2018</vt:lpstr>
    </vt:vector>
  </TitlesOfParts>
  <Company>MOJ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תקנות עובדים זרים (סוגי מקרים ותנאים שבהתקיימם עובד זר שהוא מסתנן זכאי לקבל את כספי הפיקדון לפני מועד עזיבתו את ישראל שלא לצורך יציאה זמנית), התשע"ח-2018</dc:title>
  <dc:creator>גאולה צמח</dc:creator>
  <cp:lastModifiedBy>ליאור נהבנדי</cp:lastModifiedBy>
  <cp:revision>2</cp:revision>
  <cp:lastPrinted>2018-01-23T11:38:00Z</cp:lastPrinted>
  <dcterms:created xsi:type="dcterms:W3CDTF">2018-07-26T06:35:00Z</dcterms:created>
  <dcterms:modified xsi:type="dcterms:W3CDTF">2018-07-26T06:35:00Z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0x0101007E1D98828D066A49931ED831DC689D40</vt:lpwstr>
  </property>
</Properties>
</file>